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ASIC urges financial licensees to enhance governance amid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Australian Securities and Investment Commission (ASIC) has recently issued a critical advisory for financial services and credit licensees across Australia. The regulator has emphasised the urgent need for these entities to enhance their governance practices to align with the increasing integration of artificial intelligence (AI) technologies in their operations.</w:t>
      </w:r>
      <w:r/>
    </w:p>
    <w:p>
      <w:r/>
      <w:r>
        <w:t>In a comprehensive evaluation of the financial market's current state, ASIC identified significant concerns regarding the disparity between the swift adoption of AI technologies and the corresponding development of governance frameworks. The review had been particularly revealing, highlighting that twenty-three licensees are likely at risk of allowing their governance structures to fall behind the rate at which AI is being adopted. This stands out even as the current AI implementation remains relatively cautious among these entities.</w:t>
      </w:r>
      <w:r/>
    </w:p>
    <w:p>
      <w:r/>
      <w:r>
        <w:t>Joe Longo, the Chair of ASIC, delivered critical insights arising from the market review. Longo underscored the pivotal role governance frameworks play in accommodating planned AI usage. He stressed the necessity for licensees to update their frameworks to adequately address prospective challenges posed by the maturation of AI technologies. At present, licensees predominantly employ AI to support human decision-making processes and enhance operational efficiencies. However, with approximately 60% of these licensees intending to escalate their AI utilisation, Longo predicts substantial transformations in how AI might influence consumer interactions.</w:t>
      </w:r>
      <w:r/>
    </w:p>
    <w:p>
      <w:r/>
      <w:r>
        <w:t>A particularly alarming finding from ASIC's review is that close to half of the license holders have integrated AI systems into their procedures without instituting adequate policies that address consumer fairness or mitigate biases. Even fewer companies have implemented measures that mandate the disclosure of AI usage to customers.</w:t>
      </w:r>
      <w:r/>
    </w:p>
    <w:p>
      <w:r/>
      <w:r>
        <w:t>Longo elaborated on these findings, articulating the necessity for robust governance to become a universally adopted standard within the industry, especially in the face of an anticipated increase in consumer-facing AI applications. He maintained that Swift action is imperative to prevent potential detrimental outcomes. These may include the dissemination of misinformation, unintentional discrimination or biases, and the manipulation of consumer perceptions, in addition to possible data security and privacy breaches. Such occurrences have the potential to harm consumers and erode market confidence.</w:t>
      </w:r>
      <w:r/>
    </w:p>
    <w:p>
      <w:r/>
      <w:r>
        <w:t>Moreover, Longo pointed out that financial licensees must take into account the current obligations and responsibilities they hold with respect to consumer protection in the context of AI deployment. He cautioned against a passive approach of waiting for specific AI-focused legislation and regulations to be established, highlighting that the continued operational use of AI, in absence of robust governance, could expose customers to elevated risks.</w:t>
      </w:r>
      <w:r/>
    </w:p>
    <w:p>
      <w:r/>
      <w:r>
        <w:t>In concluding his statement, Longo reiterated ASIC's commitment to monitoring industry practices and confirmed the commission’s readiness to enact enforcement measures should it identify any misconduct. This stern warning underscores the importance attributed by the regulatory body to the balance between technological advancement and the maintenance of secure, fair practices within the financial services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https://digitalpolicyalert.org/change/11635-aisc-outline-concerning-ai-governance-in-financial-services</w:t>
        </w:r>
      </w:hyperlink>
      <w:r>
        <w:t xml:space="preserve"> - ASIC adopted a report highlighting the importance of updating governance for AI in financial services.</w:t>
      </w:r>
      <w:r/>
    </w:p>
    <w:p>
      <w:pPr>
        <w:pStyle w:val="ListNumber"/>
        <w:spacing w:line="240" w:lineRule="auto"/>
        <w:ind w:left="720"/>
      </w:pPr>
      <w:r/>
      <w:hyperlink r:id="rId11">
        <w:r>
          <w:rPr>
            <w:color w:val="0000EE"/>
            <w:u w:val="single"/>
          </w:rPr>
          <w:t>https://digitalpolicyalert.org/event/24011-adopted-aisc-outline-concerning-ai-governance-in-financial-services</w:t>
        </w:r>
      </w:hyperlink>
      <w:r>
        <w:t xml:space="preserve"> - The report followed ASIC's market review, noting a potential governance gap as AI use accelerates.</w:t>
      </w:r>
      <w:r/>
    </w:p>
    <w:p>
      <w:pPr>
        <w:pStyle w:val="ListNumber"/>
        <w:spacing w:line="240" w:lineRule="auto"/>
        <w:ind w:left="720"/>
      </w:pPr>
      <w:r/>
      <w:hyperlink r:id="rId12">
        <w:r>
          <w:rPr>
            <w:color w:val="0000EE"/>
            <w:u w:val="single"/>
          </w:rPr>
          <w:t>https://www.ifa.com.au/news/34954-asic-flags-concerns-around-ai-governance-risks-for-licensees</w:t>
        </w:r>
      </w:hyperlink>
      <w:r>
        <w:t xml:space="preserve"> - ASIC's review identified concerns around AI governance risks for licensees, including the lack of policies on consumer fairness and bias.</w:t>
      </w:r>
      <w:r/>
    </w:p>
    <w:p>
      <w:pPr>
        <w:pStyle w:val="ListNumber"/>
        <w:spacing w:line="240" w:lineRule="auto"/>
        <w:ind w:left="720"/>
      </w:pPr>
      <w:r/>
      <w:hyperlink r:id="rId12">
        <w:r>
          <w:rPr>
            <w:color w:val="0000EE"/>
            <w:u w:val="single"/>
          </w:rPr>
          <w:t>https://www.ifa.com.au/news/34954-asic-flags-concerns-around-ai-governance-risks-for-licensees</w:t>
        </w:r>
      </w:hyperlink>
      <w:r>
        <w:t xml:space="preserve"> - Joe Longo emphasized the need for updated governance frameworks to address future challenges posed by AI.</w:t>
      </w:r>
      <w:r/>
    </w:p>
    <w:p>
      <w:pPr>
        <w:pStyle w:val="ListNumber"/>
        <w:spacing w:line="240" w:lineRule="auto"/>
        <w:ind w:left="720"/>
      </w:pPr>
      <w:r/>
      <w:hyperlink r:id="rId12">
        <w:r>
          <w:rPr>
            <w:color w:val="0000EE"/>
            <w:u w:val="single"/>
          </w:rPr>
          <w:t>https://www.ifa.com.au/news/34954-asic-flags-concerns-around-ai-governance-risks-for-licensees</w:t>
        </w:r>
      </w:hyperlink>
      <w:r>
        <w:t xml:space="preserve"> - The review found that 60% of licensees intend to increase AI usage, which could change how AI impacts consumers.</w:t>
      </w:r>
      <w:r/>
    </w:p>
    <w:p>
      <w:pPr>
        <w:pStyle w:val="ListNumber"/>
        <w:spacing w:line="240" w:lineRule="auto"/>
        <w:ind w:left="720"/>
      </w:pPr>
      <w:r/>
      <w:hyperlink r:id="rId12">
        <w:r>
          <w:rPr>
            <w:color w:val="0000EE"/>
            <w:u w:val="single"/>
          </w:rPr>
          <w:t>https://www.ifa.com.au/news/34954-asic-flags-concerns-around-ai-governance-risks-for-licensees</w:t>
        </w:r>
      </w:hyperlink>
      <w:r>
        <w:t xml:space="preserve"> - Longo warned about potential detrimental outcomes such as misinformation, discrimination, and data security breaches without robust governance.</w:t>
      </w:r>
      <w:r/>
    </w:p>
    <w:p>
      <w:pPr>
        <w:pStyle w:val="ListNumber"/>
        <w:spacing w:line="240" w:lineRule="auto"/>
        <w:ind w:left="720"/>
      </w:pPr>
      <w:r/>
      <w:hyperlink r:id="rId12">
        <w:r>
          <w:rPr>
            <w:color w:val="0000EE"/>
            <w:u w:val="single"/>
          </w:rPr>
          <w:t>https://www.ifa.com.au/news/34954-asic-flags-concerns-around-ai-governance-risks-for-licensees</w:t>
        </w:r>
      </w:hyperlink>
      <w:r>
        <w:t xml:space="preserve"> - ASIC stressed that licensees must consider existing consumer protection obligations and not wait for AI-specific regulations.</w:t>
      </w:r>
      <w:r/>
    </w:p>
    <w:p>
      <w:pPr>
        <w:pStyle w:val="ListNumber"/>
        <w:spacing w:line="240" w:lineRule="auto"/>
        <w:ind w:left="720"/>
      </w:pPr>
      <w:r/>
      <w:hyperlink r:id="rId13">
        <w:r>
          <w:rPr>
            <w:color w:val="0000EE"/>
            <w:u w:val="single"/>
          </w:rPr>
          <w:t>https://www.bitsofblocks.io/post/asic-finds-ai-governance-failings-in-financial-services</w:t>
        </w:r>
      </w:hyperlink>
      <w:r>
        <w:t xml:space="preserve"> - The report highlighted that without robust governance, the rapid adoption of AI could lead to significant consumer harm.</w:t>
      </w:r>
      <w:r/>
    </w:p>
    <w:p>
      <w:pPr>
        <w:pStyle w:val="ListNumber"/>
        <w:spacing w:line="240" w:lineRule="auto"/>
        <w:ind w:left="720"/>
      </w:pPr>
      <w:r/>
      <w:hyperlink r:id="rId14">
        <w:r>
          <w:rPr>
            <w:color w:val="0000EE"/>
            <w:u w:val="single"/>
          </w:rPr>
          <w:t>https://publicspectrum.co/asic-on-guiding-financial-ai-data-integration/</w:t>
        </w:r>
      </w:hyperlink>
      <w:r>
        <w:t xml:space="preserve"> - ASIC's emphasis on responsible AI adoption impacts digital government and data management in Australia's public sector.</w:t>
      </w:r>
      <w:r/>
    </w:p>
    <w:p>
      <w:pPr>
        <w:pStyle w:val="ListNumber"/>
        <w:spacing w:line="240" w:lineRule="auto"/>
        <w:ind w:left="720"/>
      </w:pPr>
      <w:r/>
      <w:hyperlink r:id="rId12">
        <w:r>
          <w:rPr>
            <w:color w:val="0000EE"/>
            <w:u w:val="single"/>
          </w:rPr>
          <w:t>https://www.ifa.com.au/news/34954-asic-flags-concerns-around-ai-governance-risks-for-licensees</w:t>
        </w:r>
      </w:hyperlink>
      <w:r>
        <w:t xml:space="preserve"> - ASIC will continue to monitor industry practices and take enforcement action if necessary to address misconduct related to AI use.</w:t>
      </w:r>
      <w:r/>
    </w:p>
    <w:p>
      <w:pPr>
        <w:pStyle w:val="ListNumber"/>
        <w:spacing w:line="240" w:lineRule="auto"/>
        <w:ind w:left="720"/>
      </w:pPr>
      <w:r/>
      <w:hyperlink r:id="rId15">
        <w:r>
          <w:rPr>
            <w:color w:val="0000EE"/>
            <w:u w:val="single"/>
          </w:rPr>
          <w:t>https://www.economywatch.com/asic-warns-that-financial-industrys-governance-practices-lag-behind-ai-adoption-pace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policyalert.org/change/11635-aisc-outline-concerning-ai-governance-in-financial-services" TargetMode="External"/><Relationship Id="rId11" Type="http://schemas.openxmlformats.org/officeDocument/2006/relationships/hyperlink" Target="https://digitalpolicyalert.org/event/24011-adopted-aisc-outline-concerning-ai-governance-in-financial-services" TargetMode="External"/><Relationship Id="rId12" Type="http://schemas.openxmlformats.org/officeDocument/2006/relationships/hyperlink" Target="https://www.ifa.com.au/news/34954-asic-flags-concerns-around-ai-governance-risks-for-licensees" TargetMode="External"/><Relationship Id="rId13" Type="http://schemas.openxmlformats.org/officeDocument/2006/relationships/hyperlink" Target="https://www.bitsofblocks.io/post/asic-finds-ai-governance-failings-in-financial-services" TargetMode="External"/><Relationship Id="rId14" Type="http://schemas.openxmlformats.org/officeDocument/2006/relationships/hyperlink" Target="https://publicspectrum.co/asic-on-guiding-financial-ai-data-integration/" TargetMode="External"/><Relationship Id="rId15" Type="http://schemas.openxmlformats.org/officeDocument/2006/relationships/hyperlink" Target="https://www.economywatch.com/asic-warns-that-financial-industrys-governance-practices-lag-behind-ai-adoption-p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