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cyberspace administration proposes new regulations for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effort to regulate the rapidly evolving field of artificial intelligence (AI) technologies, the Cyberspace Administration of China (CAC) has issued two new draft regulations for public consultation. These proposed regulations are designed to address the growing concern over AI-generated content and its potential to mislead or misinform the public.</w:t>
      </w:r>
      <w:r/>
    </w:p>
    <w:p>
      <w:r/>
      <w:r>
        <w:t>The first of these regulations, the "Measures for Labelling Artificial Intelligence-Generated or Synthetic Content" (referred to as the Draft AI Labelling Measures), outlines the need for clear identification of content produced by AI tools. The aim is to ensure that the public can easily discern between human-created and AI-generated content, thereby maintaining the authenticity and credibility of information available in the digital space.</w:t>
      </w:r>
      <w:r/>
    </w:p>
    <w:p>
      <w:r/>
      <w:r>
        <w:t>Accompanying this is the "Cybersecurity technology—Labelling method for content generated by artificial intelligence" (known as the Draft Labelling Method Standard). This is proposed as a mandatory national standard and serves as the supporting framework for implementing the AI Labelling Measures. The standard specifies the technical and procedural requirements for labelling AI-generated content, ensuring that it adheres to national guidelines for cybersecurity and information authenticity.</w:t>
      </w:r>
      <w:r/>
    </w:p>
    <w:p>
      <w:r/>
      <w:r>
        <w:t>These draft regulations come amid global discussions about the risks associated with 'deepfake' technologies, which can create highly realistic but falsified digital content. The potential misuse of such technologies poses a significant challenge to information integrity and has prompted regulatory bodies worldwide to consider similar measures.</w:t>
      </w:r>
      <w:r/>
    </w:p>
    <w:p>
      <w:r/>
      <w:r>
        <w:t>The CAC's initiative signifies China's active stance in addressing these technological risks, seeking to establish national standards that could influence international norms. By mandating the labelling of AI-generated content, the CAC aims to bolster transparency in digital communications and mitigate risks associated with the dissemination of misleading or fake information.</w:t>
      </w:r>
      <w:r/>
    </w:p>
    <w:p>
      <w:r/>
      <w:r>
        <w:t>These draft regulations are open for public feedback, inviting stakeholders in the AI industry, cybersecurity experts, and the general public to provide input on the proposed measures. This approach underscores the collaborative effort required to address the complex issues surrounding AI technologies and their societal impacts.</w:t>
      </w:r>
      <w:r/>
    </w:p>
    <w:p>
      <w:r/>
      <w:r>
        <w:t>Overall, these developments mark a significant step by the Chinese government towards increased regulation of AI-generated content, reflecting broader international concerns about the implications of artificial intelligence on public discourse and information trustworthiness. As global reliance on digital communication continues to grow, such regulatory frameworks are becoming increasingly pertinent in maintaining the integrity of online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https://www.chinadaily.com.cn/a/202409/14/WS66e53f8da3103711928a80d1.html</w:t>
        </w:r>
      </w:hyperlink>
      <w:r>
        <w:t xml:space="preserve"> - This article corroborates the proposal of new regulations by the CAC for labeling AI-generated synthetic content to protect national security and public interests.</w:t>
      </w:r>
      <w:r/>
    </w:p>
    <w:p>
      <w:pPr>
        <w:pStyle w:val="ListNumber"/>
        <w:spacing w:line="240" w:lineRule="auto"/>
        <w:ind w:left="720"/>
      </w:pPr>
      <w:r/>
      <w:hyperlink r:id="rId11">
        <w:r>
          <w:rPr>
            <w:color w:val="0000EE"/>
            <w:u w:val="single"/>
          </w:rPr>
          <w:t>https://www.loc.gov/item/global-legal-monitor/2023-07-18/china-generative-ai-measures-finalized/</w:t>
        </w:r>
      </w:hyperlink>
      <w:r>
        <w:t xml:space="preserve"> - This article supports the issuance of finalized measures by the CAC and other regulators to regulate generative AI services, including the requirement for security assessments and data quality.</w:t>
      </w:r>
      <w:r/>
    </w:p>
    <w:p>
      <w:pPr>
        <w:pStyle w:val="ListNumber"/>
        <w:spacing w:line="240" w:lineRule="auto"/>
        <w:ind w:left="720"/>
      </w:pPr>
      <w:r/>
      <w:hyperlink r:id="rId12">
        <w:r>
          <w:rPr>
            <w:color w:val="0000EE"/>
            <w:u w:val="single"/>
          </w:rPr>
          <w:t>https://www.loc.gov/item/global-legal-monitor/2023-07-04/china-cyberspace-authority-releases-draft-measures-regulating-generative-artificial-intelligence/</w:t>
        </w:r>
      </w:hyperlink>
      <w:r>
        <w:t xml:space="preserve"> - This article details the draft measures released by the CAC to regulate generative AI services, including requirements for data legitimacy and user identity registration.</w:t>
      </w:r>
      <w:r/>
    </w:p>
    <w:p>
      <w:pPr>
        <w:pStyle w:val="ListNumber"/>
        <w:spacing w:line="240" w:lineRule="auto"/>
        <w:ind w:left="720"/>
      </w:pPr>
      <w:r/>
      <w:hyperlink r:id="rId13">
        <w:r>
          <w:rPr>
            <w:color w:val="0000EE"/>
            <w:u w:val="single"/>
          </w:rPr>
          <w:t>https://digichina.stanford.edu/work/how-will-chinas-generative-ai-regulations-shape-the-future-a-digichina-forum/</w:t>
        </w:r>
      </w:hyperlink>
      <w:r>
        <w:t xml:space="preserve"> - This article discusses the draft measures for generative AI services, highlighting issues such as data protection, content moderation, and algorithmic transparency.</w:t>
      </w:r>
      <w:r/>
    </w:p>
    <w:p>
      <w:pPr>
        <w:pStyle w:val="ListNumber"/>
        <w:spacing w:line="240" w:lineRule="auto"/>
        <w:ind w:left="720"/>
      </w:pPr>
      <w:r/>
      <w:hyperlink r:id="rId14">
        <w:r>
          <w:rPr>
            <w:color w:val="0000EE"/>
            <w:u w:val="single"/>
          </w:rPr>
          <w:t>https://carnegieendowment.org/research/2023/07/chinas-ai-regulations-and-how-they-get-made</w:t>
        </w:r>
      </w:hyperlink>
      <w:r>
        <w:t xml:space="preserve"> - This article provides an overview of China's AI regulations, including the measures for generative AI, deep synthesis, and recommendation algorithms, and their impact on global AI governance.</w:t>
      </w:r>
      <w:r/>
    </w:p>
    <w:p>
      <w:pPr>
        <w:pStyle w:val="ListNumber"/>
        <w:spacing w:line="240" w:lineRule="auto"/>
        <w:ind w:left="720"/>
      </w:pPr>
      <w:r/>
      <w:hyperlink r:id="rId10">
        <w:r>
          <w:rPr>
            <w:color w:val="0000EE"/>
            <w:u w:val="single"/>
          </w:rPr>
          <w:t>https://www.chinadaily.com.cn/a/202409/14/WS66e53f8da3103711928a80d1.html</w:t>
        </w:r>
      </w:hyperlink>
      <w:r>
        <w:t xml:space="preserve"> - This article explains the need for clear identification of AI-generated content to maintain the authenticity and credibility of digital information.</w:t>
      </w:r>
      <w:r/>
    </w:p>
    <w:p>
      <w:pPr>
        <w:pStyle w:val="ListNumber"/>
        <w:spacing w:line="240" w:lineRule="auto"/>
        <w:ind w:left="720"/>
      </w:pPr>
      <w:r/>
      <w:hyperlink r:id="rId11">
        <w:r>
          <w:rPr>
            <w:color w:val="0000EE"/>
            <w:u w:val="single"/>
          </w:rPr>
          <w:t>https://www.loc.gov/item/global-legal-monitor/2023-07-18/china-generative-ai-measures-finalized/</w:t>
        </w:r>
      </w:hyperlink>
      <w:r>
        <w:t xml:space="preserve"> - This article supports the regulatory objective of promoting healthy development and regulated application of generative AI, as well as safeguarding national security and public interests.</w:t>
      </w:r>
      <w:r/>
    </w:p>
    <w:p>
      <w:pPr>
        <w:pStyle w:val="ListNumber"/>
        <w:spacing w:line="240" w:lineRule="auto"/>
        <w:ind w:left="720"/>
      </w:pPr>
      <w:r/>
      <w:hyperlink r:id="rId13">
        <w:r>
          <w:rPr>
            <w:color w:val="0000EE"/>
            <w:u w:val="single"/>
          </w:rPr>
          <w:t>https://digichina.stanford.edu/work/how-will-chinas-generative-ai-regulations-shape-the-future-a-digichina-forum/</w:t>
        </w:r>
      </w:hyperlink>
      <w:r>
        <w:t xml:space="preserve"> - This article discusses the regulatory burden on Chinese companies to ensure the truth and accuracy of content generated by generative AI.</w:t>
      </w:r>
      <w:r/>
    </w:p>
    <w:p>
      <w:pPr>
        <w:pStyle w:val="ListNumber"/>
        <w:spacing w:line="240" w:lineRule="auto"/>
        <w:ind w:left="720"/>
      </w:pPr>
      <w:r/>
      <w:hyperlink r:id="rId14">
        <w:r>
          <w:rPr>
            <w:color w:val="0000EE"/>
            <w:u w:val="single"/>
          </w:rPr>
          <w:t>https://carnegieendowment.org/research/2023/07/chinas-ai-regulations-and-how-they-get-made</w:t>
        </w:r>
      </w:hyperlink>
      <w:r>
        <w:t xml:space="preserve"> - This article highlights the global discussions and regulatory responses to the risks associated with 'deepfake' technologies and AI-generated content.</w:t>
      </w:r>
      <w:r/>
    </w:p>
    <w:p>
      <w:pPr>
        <w:pStyle w:val="ListNumber"/>
        <w:spacing w:line="240" w:lineRule="auto"/>
        <w:ind w:left="720"/>
      </w:pPr>
      <w:r/>
      <w:hyperlink r:id="rId12">
        <w:r>
          <w:rPr>
            <w:color w:val="0000EE"/>
            <w:u w:val="single"/>
          </w:rPr>
          <w:t>https://www.loc.gov/item/global-legal-monitor/2023-07-04/china-cyberspace-authority-releases-draft-measures-regulating-generative-artificial-intelligence/</w:t>
        </w:r>
      </w:hyperlink>
      <w:r>
        <w:t xml:space="preserve"> - This article explains the public feedback process for the draft regulations, inviting stakeholders to provide input on the proposed measures.</w:t>
      </w:r>
      <w:r/>
    </w:p>
    <w:p>
      <w:pPr>
        <w:pStyle w:val="ListNumber"/>
        <w:spacing w:line="240" w:lineRule="auto"/>
        <w:ind w:left="720"/>
      </w:pPr>
      <w:r/>
      <w:hyperlink r:id="rId13">
        <w:r>
          <w:rPr>
            <w:color w:val="0000EE"/>
            <w:u w:val="single"/>
          </w:rPr>
          <w:t>https://digichina.stanford.edu/work/how-will-chinas-generative-ai-regulations-shape-the-future-a-digichina-forum/</w:t>
        </w:r>
      </w:hyperlink>
      <w:r>
        <w:t xml:space="preserve"> - This article underscores the collaborative effort required to address the complex issues surrounding AI technologies and their societal impacts.</w:t>
      </w:r>
      <w:r/>
    </w:p>
    <w:p>
      <w:pPr>
        <w:pStyle w:val="ListNumber"/>
        <w:spacing w:line="240" w:lineRule="auto"/>
        <w:ind w:left="720"/>
      </w:pPr>
      <w:r/>
      <w:hyperlink r:id="rId15">
        <w:r>
          <w:rPr>
            <w:color w:val="0000EE"/>
            <w:u w:val="single"/>
          </w:rPr>
          <w:t>https://www.lexblog.com/2024/10/30/chinas-proposed-ai-labelling-regulations-key-points/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inadaily.com.cn/a/202409/14/WS66e53f8da3103711928a80d1.html" TargetMode="External"/><Relationship Id="rId11" Type="http://schemas.openxmlformats.org/officeDocument/2006/relationships/hyperlink" Target="https://www.loc.gov/item/global-legal-monitor/2023-07-18/china-generative-ai-measures-finalized/" TargetMode="External"/><Relationship Id="rId12" Type="http://schemas.openxmlformats.org/officeDocument/2006/relationships/hyperlink" Target="https://www.loc.gov/item/global-legal-monitor/2023-07-04/china-cyberspace-authority-releases-draft-measures-regulating-generative-artificial-intelligence/" TargetMode="External"/><Relationship Id="rId13" Type="http://schemas.openxmlformats.org/officeDocument/2006/relationships/hyperlink" Target="https://digichina.stanford.edu/work/how-will-chinas-generative-ai-regulations-shape-the-future-a-digichina-forum/" TargetMode="External"/><Relationship Id="rId14" Type="http://schemas.openxmlformats.org/officeDocument/2006/relationships/hyperlink" Target="https://carnegieendowment.org/research/2023/07/chinas-ai-regulations-and-how-they-get-made" TargetMode="External"/><Relationship Id="rId15" Type="http://schemas.openxmlformats.org/officeDocument/2006/relationships/hyperlink" Target="https://www.lexblog.com/2024/10/30/chinas-proposed-ai-labelling-regulations-key-poi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