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Real estate sector faces a multitude of challenges in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2025, the real estate sector faces a multifaceted array of challenges and uncertainties, according to a detailed annual report by the Counselors of Real Estate (CRE). The report, compiled by a global network of over 1,000 property advisors, identifies and analyses critical issues that could shape the future of both residential and commercial real estate markets.</w:t>
      </w:r>
      <w:r/>
    </w:p>
    <w:p>
      <w:r/>
      <w:r>
        <w:rPr>
          <w:b/>
        </w:rPr>
        <w:t>Elections on the Global Stage</w:t>
      </w:r>
      <w:r/>
    </w:p>
    <w:p>
      <w:r/>
      <w:r>
        <w:t>The upcoming national elections, both in the United States and over 70 other countries, are flagged as a crucial factor that could impact the real estate landscape. The CRE report underscores the uncertainty that elections bring, as changes in political leadership and policy can directly influence real estate performance and decision-making processes worldwide. A volatile geopolitical climate can add layers of unpredictability, affecting investment confidence and strategic planning.</w:t>
      </w:r>
      <w:r/>
    </w:p>
    <w:p>
      <w:r/>
      <w:r>
        <w:rPr>
          <w:b/>
        </w:rPr>
        <w:t>Implications of Financing Costs</w:t>
      </w:r>
      <w:r/>
    </w:p>
    <w:p>
      <w:r/>
      <w:r>
        <w:t>Financial dynamics, notably the cost of capital, remain pivotal. After the anticipation of interest rate cuts in 2024 fell through, the real estate industry must navigate an environment no longer characterized by the 'free money' era that spanned from 2009 onwards. This shift poses an adjustment challenge for newer market participants who have only known low-interest conditions. However, there is cautious optimism in the report, noting hints of stabilization in transaction volumes after a significant drop.</w:t>
      </w:r>
      <w:r/>
    </w:p>
    <w:p>
      <w:r/>
      <w:r>
        <w:rPr>
          <w:b/>
        </w:rPr>
        <w:t>Loan Maturities and Debt Repricing</w:t>
      </w:r>
      <w:r/>
    </w:p>
    <w:p>
      <w:r/>
      <w:r>
        <w:t>Maturing loan obligations and the intricate process of debt repricing are highlighted. Banks, holding large amounts of real estate debt, face regulatory constraints limiting their flexibility. The report indicates that the extension of loan maturities may soon be untenable, leading lenders to confront an increased volume of loans that require careful navigation.</w:t>
      </w:r>
      <w:r/>
    </w:p>
    <w:p>
      <w:r/>
      <w:r>
        <w:rPr>
          <w:b/>
        </w:rPr>
        <w:t>Geopolitical Influences</w:t>
      </w:r>
      <w:r/>
    </w:p>
    <w:p>
      <w:r/>
      <w:r>
        <w:t>Geopolitical tensions, including ongoing conflicts such as the Ukraine war, exert a plethora of indirect impacts on the real estate sector. These include disruptions in supply chains, inflationary pressures, migration patterns, and shifts in the labour market. Consequently, these factors influence real estate costs, supply-demand dynamics, and risk-adjusted return expectations.</w:t>
      </w:r>
      <w:r/>
    </w:p>
    <w:p>
      <w:r/>
      <w:r>
        <w:rPr>
          <w:b/>
        </w:rPr>
        <w:t>Rising Insurance Costs</w:t>
      </w:r>
      <w:r/>
    </w:p>
    <w:p>
      <w:r/>
      <w:r>
        <w:t>Insurance costs are another critical consideration, with premiums reportedly climbing at alarming rates. The report outlines the challenges property owners face due to inflationary pressures on construction, revised property valuations, and insurers' attempts to offset losses from frequent extreme weather events. Aon’s 2024 Climate and Catastrophe Insight Report cited $380 billion in global economic losses from natural disasters in the preceding year, with significant insurance gaps.</w:t>
      </w:r>
      <w:r/>
    </w:p>
    <w:p>
      <w:r/>
      <w:r>
        <w:rPr>
          <w:b/>
        </w:rPr>
        <w:t>Challenges of Housing Affordability</w:t>
      </w:r>
      <w:r/>
    </w:p>
    <w:p>
      <w:r/>
      <w:r>
        <w:t>Housing affordability and attainability are persistent issues growing in complexity and scale. Despite some stabilization in multifamily rent growth, the long-term trend has been upward, with national average rents increasing by approximately 45% from 2009 to 2023. The report discusses possible mitigative measures, such as tax credits, local subsidies, and a reassessment of zoning laws, although these are not comprehensive solutions.</w:t>
      </w:r>
      <w:r/>
    </w:p>
    <w:p>
      <w:r/>
      <w:r>
        <w:rPr>
          <w:b/>
        </w:rPr>
        <w:t>Role of Artificial Intelligence</w:t>
      </w:r>
      <w:r/>
    </w:p>
    <w:p>
      <w:r/>
      <w:r>
        <w:t>Artificial intelligence is reshaping various aspects of real estate, though it faces hurdles in capturing the nuanced differences between properties in diverse locations. The report recognises the need for human oversight to refine AI algorithms further, ensuring they can adequately assess location-specific value factors.</w:t>
      </w:r>
      <w:r/>
    </w:p>
    <w:p>
      <w:r/>
      <w:r>
        <w:rPr>
          <w:b/>
        </w:rPr>
        <w:t>Sustainability and Climate Resilience</w:t>
      </w:r>
      <w:r/>
    </w:p>
    <w:p>
      <w:r/>
      <w:r>
        <w:t>With notable weather extremes and evolving regulations, sustainability climbs higher on the industry's agenda. The impacts of climate events, recorded as increasingly frequent and severe, have heightened the call for real estate to engage more thoroughly with decarbonisation and sustainability practices, driven by both market forces and regulatory pressures.</w:t>
      </w:r>
      <w:r/>
    </w:p>
    <w:p>
      <w:r/>
      <w:r>
        <w:rPr>
          <w:b/>
        </w:rPr>
        <w:t>Urban Office Vacancies and City Cores</w:t>
      </w:r>
      <w:r/>
    </w:p>
    <w:p>
      <w:r/>
      <w:r>
        <w:t>The work-from-home trend continues to reshape urban economies, raising questions about the future use of commercial office spaces. The report describes the financial and logistical burdens associated with converting office buildings to residential units and notes successful transformations in areas like New York City that could serve as future models.</w:t>
      </w:r>
      <w:r/>
    </w:p>
    <w:p>
      <w:r/>
      <w:r>
        <w:rPr>
          <w:b/>
        </w:rPr>
        <w:t>Commercial Real Estate Price Standoff</w:t>
      </w:r>
      <w:r/>
    </w:p>
    <w:p>
      <w:r/>
      <w:r>
        <w:t>Lastly, CRE reports a stagnation in the commercial property market, where a 'price expectations gap' persists. Buyers anticipate bargains on distressed assets, while sellers maintain high valuations, leading to a deadlock stalling market activity.</w:t>
      </w:r>
      <w:r/>
    </w:p>
    <w:p>
      <w:r/>
      <w:r>
        <w:t>The report presents a complex portrait of the real estate sector at a pivotal time, with numerous challenges requiring strategic solutions and adaptations from all market participants.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https://cre.org/top-ten-issues/2024-25-top-ten-issues-affecting-real-estate/</w:t>
        </w:r>
      </w:hyperlink>
      <w:r>
        <w:t xml:space="preserve"> - Corroborates the impact of global and U.S. elections on real estate, highlighting the uncertainty and geopolitical volatility.</w:t>
      </w:r>
      <w:r/>
    </w:p>
    <w:p>
      <w:pPr>
        <w:pStyle w:val="ListNumber"/>
        <w:spacing w:line="240" w:lineRule="auto"/>
        <w:ind w:left="720"/>
      </w:pPr>
      <w:r/>
      <w:hyperlink r:id="rId10">
        <w:r>
          <w:rPr>
            <w:color w:val="0000EE"/>
            <w:u w:val="single"/>
          </w:rPr>
          <w:t>https://cre.org/top-ten-issues/2024-25-top-ten-issues-affecting-real-estate/</w:t>
        </w:r>
      </w:hyperlink>
      <w:r>
        <w:t xml:space="preserve"> - Discusses the implications of loan maturities and debt repricing, including the extension of loan maturities and the challenges faced by lenders.</w:t>
      </w:r>
      <w:r/>
    </w:p>
    <w:p>
      <w:pPr>
        <w:pStyle w:val="ListNumber"/>
        <w:spacing w:line="240" w:lineRule="auto"/>
        <w:ind w:left="720"/>
      </w:pPr>
      <w:r/>
      <w:hyperlink r:id="rId11">
        <w:r>
          <w:rPr>
            <w:color w:val="0000EE"/>
            <w:u w:val="single"/>
          </w:rPr>
          <w:t>https://www2.deloitte.com/us/en/insights/industry/financial-services/commercial-real-estate-outlook.html</w:t>
        </w:r>
      </w:hyperlink>
      <w:r>
        <w:t xml:space="preserve"> - Details the financial dynamics, including the cost of capital and the shift from the 'free money' era, and the impact on transaction volumes.</w:t>
      </w:r>
      <w:r/>
    </w:p>
    <w:p>
      <w:pPr>
        <w:pStyle w:val="ListNumber"/>
        <w:spacing w:line="240" w:lineRule="auto"/>
        <w:ind w:left="720"/>
      </w:pPr>
      <w:r/>
      <w:hyperlink r:id="rId11">
        <w:r>
          <w:rPr>
            <w:color w:val="0000EE"/>
            <w:u w:val="single"/>
          </w:rPr>
          <w:t>https://www2.deloitte.com/us/en/insights/industry/financial-services/commercial-real-estate-outlook.html</w:t>
        </w:r>
      </w:hyperlink>
      <w:r>
        <w:t xml:space="preserve"> - Highlights geopolitical influences, such as supply chain disruptions, inflationary pressures, and shifts in labor markets, affecting real estate.</w:t>
      </w:r>
      <w:r/>
    </w:p>
    <w:p>
      <w:pPr>
        <w:pStyle w:val="ListNumber"/>
        <w:spacing w:line="240" w:lineRule="auto"/>
        <w:ind w:left="720"/>
      </w:pPr>
      <w:r/>
      <w:hyperlink r:id="rId10">
        <w:r>
          <w:rPr>
            <w:color w:val="0000EE"/>
            <w:u w:val="single"/>
          </w:rPr>
          <w:t>https://cre.org/top-ten-issues/2024-25-top-ten-issues-affecting-real-estate/</w:t>
        </w:r>
      </w:hyperlink>
      <w:r>
        <w:t xml:space="preserve"> - Addresses rising insurance costs due to inflation, revised property valuations, and insurers' attempts to offset losses from extreme weather events.</w:t>
      </w:r>
      <w:r/>
    </w:p>
    <w:p>
      <w:pPr>
        <w:pStyle w:val="ListNumber"/>
        <w:spacing w:line="240" w:lineRule="auto"/>
        <w:ind w:left="720"/>
      </w:pPr>
      <w:r/>
      <w:hyperlink r:id="rId10">
        <w:r>
          <w:rPr>
            <w:color w:val="0000EE"/>
            <w:u w:val="single"/>
          </w:rPr>
          <w:t>https://cre.org/top-ten-issues/2024-25-top-ten-issues-affecting-real-estate/</w:t>
        </w:r>
      </w:hyperlink>
      <w:r>
        <w:t xml:space="preserve"> - Discusses housing affordability and attainability issues, including the housing shortage and the need for preserving existing affordable housing.</w:t>
      </w:r>
      <w:r/>
    </w:p>
    <w:p>
      <w:pPr>
        <w:pStyle w:val="ListNumber"/>
        <w:spacing w:line="240" w:lineRule="auto"/>
        <w:ind w:left="720"/>
      </w:pPr>
      <w:r/>
      <w:hyperlink r:id="rId11">
        <w:r>
          <w:rPr>
            <w:color w:val="0000EE"/>
            <w:u w:val="single"/>
          </w:rPr>
          <w:t>https://www2.deloitte.com/us/en/insights/industry/financial-services/commercial-real-estate-outlook.html</w:t>
        </w:r>
      </w:hyperlink>
      <w:r>
        <w:t xml:space="preserve"> - Mentions the challenges in housing affordability, including the impact of construction costs and development financing on new affordable inventories.</w:t>
      </w:r>
      <w:r/>
    </w:p>
    <w:p>
      <w:pPr>
        <w:pStyle w:val="ListNumber"/>
        <w:spacing w:line="240" w:lineRule="auto"/>
        <w:ind w:left="720"/>
      </w:pPr>
      <w:r/>
      <w:hyperlink r:id="rId12">
        <w:r>
          <w:rPr>
            <w:color w:val="0000EE"/>
            <w:u w:val="single"/>
          </w:rPr>
          <w:t>https://www.pwc.com/us/en/industries/financial-services/asset-wealth-management/real-estate/emerging-trends-in-real-estate.html</w:t>
        </w:r>
      </w:hyperlink>
      <w:r>
        <w:t xml:space="preserve"> - Touches on the role of artificial intelligence in real estate, highlighting the need for human oversight to refine AI algorithms.</w:t>
      </w:r>
      <w:r/>
    </w:p>
    <w:p>
      <w:pPr>
        <w:pStyle w:val="ListNumber"/>
        <w:spacing w:line="240" w:lineRule="auto"/>
        <w:ind w:left="720"/>
      </w:pPr>
      <w:r/>
      <w:hyperlink r:id="rId10">
        <w:r>
          <w:rPr>
            <w:color w:val="0000EE"/>
            <w:u w:val="single"/>
          </w:rPr>
          <w:t>https://cre.org/top-ten-issues/2024-25-top-ten-issues-affecting-real-estate/</w:t>
        </w:r>
      </w:hyperlink>
      <w:r>
        <w:t xml:space="preserve"> - Emphasizes the importance of sustainability and climate resilience in the real estate sector due to frequent and severe climate events.</w:t>
      </w:r>
      <w:r/>
    </w:p>
    <w:p>
      <w:pPr>
        <w:pStyle w:val="ListNumber"/>
        <w:spacing w:line="240" w:lineRule="auto"/>
        <w:ind w:left="720"/>
      </w:pPr>
      <w:r/>
      <w:hyperlink r:id="rId11">
        <w:r>
          <w:rPr>
            <w:color w:val="0000EE"/>
            <w:u w:val="single"/>
          </w:rPr>
          <w:t>https://www2.deloitte.com/us/en/insights/industry/financial-services/commercial-real-estate-outlook.html</w:t>
        </w:r>
      </w:hyperlink>
      <w:r>
        <w:t xml:space="preserve"> - Describes the impact of the work-from-home trend on urban office vacancies and the challenges of converting office buildings to residential units.</w:t>
      </w:r>
      <w:r/>
    </w:p>
    <w:p>
      <w:pPr>
        <w:pStyle w:val="ListNumber"/>
        <w:spacing w:line="240" w:lineRule="auto"/>
        <w:ind w:left="720"/>
      </w:pPr>
      <w:r/>
      <w:hyperlink r:id="rId11">
        <w:r>
          <w:rPr>
            <w:color w:val="0000EE"/>
            <w:u w:val="single"/>
          </w:rPr>
          <w:t>https://www2.deloitte.com/us/en/insights/industry/financial-services/commercial-real-estate-outlook.html</w:t>
        </w:r>
      </w:hyperlink>
      <w:r>
        <w:t xml:space="preserve"> - Reports on the stagnation in the commercial property market due to a 'price expectations gap' between buyers and sellers.</w:t>
      </w:r>
      <w:r/>
    </w:p>
    <w:p>
      <w:pPr>
        <w:pStyle w:val="ListNumber"/>
        <w:spacing w:line="240" w:lineRule="auto"/>
        <w:ind w:left="720"/>
      </w:pPr>
      <w:r/>
      <w:hyperlink r:id="rId13">
        <w:r>
          <w:rPr>
            <w:color w:val="0000EE"/>
            <w:u w:val="single"/>
          </w:rPr>
          <w:t>https://denveragentmagazine.com/2024/10/30/counselors-of-real-estate-top-19-issues/?utm_source=rss&amp;utm_medium=rss&amp;utm_campaign=counselors-of-real-estate-top-19-issues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re.org/top-ten-issues/2024-25-top-ten-issues-affecting-real-estate/" TargetMode="External"/><Relationship Id="rId11" Type="http://schemas.openxmlformats.org/officeDocument/2006/relationships/hyperlink" Target="https://www2.deloitte.com/us/en/insights/industry/financial-services/commercial-real-estate-outlook.html" TargetMode="External"/><Relationship Id="rId12" Type="http://schemas.openxmlformats.org/officeDocument/2006/relationships/hyperlink" Target="https://www.pwc.com/us/en/industries/financial-services/asset-wealth-management/real-estate/emerging-trends-in-real-estate.html" TargetMode="External"/><Relationship Id="rId13" Type="http://schemas.openxmlformats.org/officeDocument/2006/relationships/hyperlink" Target="https://denveragentmagazine.com/2024/10/30/counselors-of-real-estate-top-19-issues/?utm_source=rss&amp;utm_medium=rss&amp;utm_campaign=counselors-of-real-estate-top-19-issu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