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Vanguard Utilities ETF outperforms S&amp;P 500 amid AI-driven energy demand surge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Vanguard Utilities ETF Outperforms S&amp;P 500 amid AI-Driven Energy Demand Surge</w:t>
      </w:r>
      <w:r/>
    </w:p>
    <w:p>
      <w:r/>
      <w:r>
        <w:t>In an unexpected turn of events, the Vanguard Utilities ETF (NYSEMKT: VPU) has posted a remarkable return of 30% since the start of the year. This notable performance surpasses the S&amp;P 500's (SNPINDEX: ^GSPC) return of 23% over the same period. Typically, the utilities sector does not outperform the broader market indices, making this year's results particularly noteworthy.</w:t>
      </w:r>
      <w:r/>
    </w:p>
    <w:p>
      <w:r/>
      <w:r>
        <w:t>Investors' enthusiasm towards utility stocks is largely attributed to the growing anticipation that the rise of artificial intelligence (AI) technologies will significantly boost energy consumption levels. A report from Goldman Sachs projects a 2.4% average annual growth in U.S. electricity demand through 2030, a level of demand increase not observed since the early 2000s. During that time, from January 2000 to December 2010, the utilities sector notably outpaced the S&amp;P 500 by 65 percentage points.</w:t>
      </w:r>
      <w:r/>
    </w:p>
    <w:p>
      <w:r/>
      <w:r>
        <w:t>The Vanguard Utilities ETF offers investors diversified exposure to 66 U.S. utility sector companies, primarily focused on electric utilities, but also encompassing water and gas distributors along with independent power producers. The fund stands out with a below-average expense ratio of 0.1%, translating to an annual fee of $1 for every $1,000 invested. Its largest holdings include prominent names such as NextEra Energy, Southern Company, and Duke Energy.</w:t>
      </w:r>
      <w:r/>
    </w:p>
    <w:p>
      <w:r/>
      <w:r>
        <w:t>In light of the burgeoning demand for electricity, particularly from data centers, the Federal Energy Regulatory Commission has forecasted a dramatic increase in data center electricity consumption, predicting a rise of 35 gigawatts (GW) by 2030. This growth suggests that data centers could account for 9% of U.S. electricity consumption by the decade's end, a figure nearly double today's level.</w:t>
      </w:r>
      <w:r/>
    </w:p>
    <w:p>
      <w:r/>
      <w:r>
        <w:t>A significant driver behind this shift is AI technology, with its operations requiring notably higher power consumption compared to standard data center activities. For instance, AI applications such as ChatGPT consume up to ten times more power per query than conventional search engines. However, AI is just one of several factors contributing to the overall increase in data center energy demand.</w:t>
      </w:r>
      <w:r/>
    </w:p>
    <w:p>
      <w:r/>
      <w:r>
        <w:t>While the Vanguard Utilities ETF's current outperformance is impressive, experts caution that past success does not necessarily predict future outcomes. However, the potential for AI to serve as a key catalyst for the utility sector provides a compelling growth narrative for investors seeking to capitalise on this trend through index fund investments.</w:t>
      </w:r>
      <w:r/>
    </w:p>
    <w:p>
      <w:r/>
      <w:r>
        <w:t>In conclusion, the utilities sector's soared performance this year is an intriguing development in financial markets, underpinned by the prospective impact of AI-fuelled energy demands. This evolving landscape invites careful observation as electricity consumption patterns continue to adapt to technological advancements.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https://investor.vanguard.com/investment-products/etfs/profile/vpu</w:t>
        </w:r>
      </w:hyperlink>
      <w:r>
        <w:t xml:space="preserve"> - Provides information on the Vanguard Utilities ETF's performance and returns, including the 30% return since the start of the year.</w:t>
      </w:r>
      <w:r/>
    </w:p>
    <w:p>
      <w:pPr>
        <w:pStyle w:val="ListNumber"/>
        <w:spacing w:line="240" w:lineRule="auto"/>
        <w:ind w:left="720"/>
      </w:pPr>
      <w:r/>
      <w:hyperlink r:id="rId11">
        <w:r>
          <w:rPr>
            <w:color w:val="0000EE"/>
            <w:u w:val="single"/>
          </w:rPr>
          <w:t>https://www.morningstar.com/etfs/arcx/vpu/quote</w:t>
        </w:r>
      </w:hyperlink>
      <w:r>
        <w:t xml:space="preserve"> - Details the Vanguard Utilities ETF's holdings and performance, including its largest holdings such as NextEra Energy, Southern Company, and Duke Energy.</w:t>
      </w:r>
      <w:r/>
    </w:p>
    <w:p>
      <w:pPr>
        <w:pStyle w:val="ListNumber"/>
        <w:spacing w:line="240" w:lineRule="auto"/>
        <w:ind w:left="720"/>
      </w:pPr>
      <w:r/>
      <w:hyperlink r:id="rId12">
        <w:r>
          <w:rPr>
            <w:color w:val="0000EE"/>
            <w:u w:val="single"/>
          </w:rPr>
          <w:t>https://www.morningstar.com/etfs/arcx/vpu/performance</w:t>
        </w:r>
      </w:hyperlink>
      <w:r>
        <w:t xml:space="preserve"> - Offers a detailed performance history of the Vanguard Utilities ETF, including yearly returns and dividend history.</w:t>
      </w:r>
      <w:r/>
    </w:p>
    <w:p>
      <w:pPr>
        <w:pStyle w:val="ListNumber"/>
        <w:spacing w:line="240" w:lineRule="auto"/>
        <w:ind w:left="720"/>
      </w:pPr>
      <w:r/>
      <w:hyperlink r:id="rId13">
        <w:r>
          <w:rPr>
            <w:color w:val="0000EE"/>
            <w:u w:val="single"/>
          </w:rPr>
          <w:t>https://ycharts.com/companies/VPU</w:t>
        </w:r>
      </w:hyperlink>
      <w:r>
        <w:t xml:space="preserve"> - Provides key stats and performance metrics for the Vanguard Utilities ETF, including its expense ratio and asset allocation.</w:t>
      </w:r>
      <w:r/>
    </w:p>
    <w:p>
      <w:pPr>
        <w:pStyle w:val="ListNumber"/>
        <w:spacing w:line="240" w:lineRule="auto"/>
        <w:ind w:left="720"/>
      </w:pPr>
      <w:r/>
      <w:hyperlink r:id="rId14">
        <w:r>
          <w:rPr>
            <w:color w:val="0000EE"/>
            <w:u w:val="single"/>
          </w:rPr>
          <w:t>https://consent.yahoo.com/v2/collectConsent</w:t>
        </w:r>
      </w:hyperlink>
      <w:r>
        <w:t xml:space="preserve"> - Although not directly relevant, it mentions the Vanguard Utilities Index Fund ETF Shares (VPU) performance, which aligns with the discussed ETF's performance metrics.</w:t>
      </w:r>
      <w:r/>
    </w:p>
    <w:p>
      <w:pPr>
        <w:pStyle w:val="ListNumber"/>
        <w:spacing w:line="240" w:lineRule="auto"/>
        <w:ind w:left="720"/>
      </w:pPr>
      <w:r/>
      <w:hyperlink r:id="rId12">
        <w:r>
          <w:rPr>
            <w:color w:val="0000EE"/>
            <w:u w:val="single"/>
          </w:rPr>
          <w:t>https://www.morningstar.com/etfs/arcx/vpu/performance</w:t>
        </w:r>
      </w:hyperlink>
      <w:r>
        <w:t xml:space="preserve"> - Corroborates the Vanguard Utilities ETF's outperformance compared to broader market indices like the S&amp;P 500.</w:t>
      </w:r>
      <w:r/>
    </w:p>
    <w:p>
      <w:pPr>
        <w:pStyle w:val="ListNumber"/>
        <w:spacing w:line="240" w:lineRule="auto"/>
        <w:ind w:left="720"/>
      </w:pPr>
      <w:r/>
      <w:hyperlink r:id="rId13">
        <w:r>
          <w:rPr>
            <w:color w:val="0000EE"/>
            <w:u w:val="single"/>
          </w:rPr>
          <w:t>https://ycharts.com/companies/VPU</w:t>
        </w:r>
      </w:hyperlink>
      <w:r>
        <w:t xml:space="preserve"> - Details the fund's investment strategy and its focus on U.S. utility sector companies, including electric utilities, water and gas distributors, and independent power producers.</w:t>
      </w:r>
      <w:r/>
    </w:p>
    <w:p>
      <w:pPr>
        <w:pStyle w:val="ListNumber"/>
        <w:spacing w:line="240" w:lineRule="auto"/>
        <w:ind w:left="720"/>
      </w:pPr>
      <w:r/>
      <w:hyperlink r:id="rId11">
        <w:r>
          <w:rPr>
            <w:color w:val="0000EE"/>
            <w:u w:val="single"/>
          </w:rPr>
          <w:t>https://www.morningstar.com/etfs/arcx/vpu/quote</w:t>
        </w:r>
      </w:hyperlink>
      <w:r>
        <w:t xml:space="preserve"> - Highlights the fund's below-average expense ratio of 0.1%, which is a key factor in its attractiveness to investors.</w:t>
      </w:r>
      <w:r/>
    </w:p>
    <w:p>
      <w:pPr>
        <w:pStyle w:val="ListNumber"/>
        <w:spacing w:line="240" w:lineRule="auto"/>
        <w:ind w:left="720"/>
      </w:pPr>
      <w:r/>
      <w:hyperlink r:id="rId10">
        <w:r>
          <w:rPr>
            <w:color w:val="0000EE"/>
            <w:u w:val="single"/>
          </w:rPr>
          <w:t>https://investor.vanguard.com/investment-products/etfs/profile/vpu</w:t>
        </w:r>
      </w:hyperlink>
      <w:r>
        <w:t xml:space="preserve"> - Provides context on the fund's benchmark index, the MSCI US IMI/Utilities 25-50 GR USD, which is relevant to its performance and holdings.</w:t>
      </w:r>
      <w:r/>
    </w:p>
    <w:p>
      <w:pPr>
        <w:pStyle w:val="ListNumber"/>
        <w:spacing w:line="240" w:lineRule="auto"/>
        <w:ind w:left="720"/>
      </w:pPr>
      <w:r/>
      <w:hyperlink r:id="rId13">
        <w:r>
          <w:rPr>
            <w:color w:val="0000EE"/>
            <w:u w:val="single"/>
          </w:rPr>
          <w:t>https://ycharts.com/companies/VPU</w:t>
        </w:r>
      </w:hyperlink>
      <w:r>
        <w:t xml:space="preserve"> - Supports the information on the fund's manager tenure and other key stats that contribute to its performance and investor appeal.</w:t>
      </w:r>
      <w:r/>
    </w:p>
    <w:p>
      <w:pPr>
        <w:pStyle w:val="ListNumber"/>
        <w:spacing w:line="240" w:lineRule="auto"/>
        <w:ind w:left="720"/>
      </w:pPr>
      <w:r/>
      <w:hyperlink r:id="rId15">
        <w:r>
          <w:rPr>
            <w:color w:val="0000EE"/>
            <w:u w:val="single"/>
          </w:rPr>
          <w:t>https://finance.yahoo.com/news/vanguard-index-fund-once-decade-081200364.html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investor.vanguard.com/investment-products/etfs/profile/vpu" TargetMode="External"/><Relationship Id="rId11" Type="http://schemas.openxmlformats.org/officeDocument/2006/relationships/hyperlink" Target="https://www.morningstar.com/etfs/arcx/vpu/quote" TargetMode="External"/><Relationship Id="rId12" Type="http://schemas.openxmlformats.org/officeDocument/2006/relationships/hyperlink" Target="https://www.morningstar.com/etfs/arcx/vpu/performance" TargetMode="External"/><Relationship Id="rId13" Type="http://schemas.openxmlformats.org/officeDocument/2006/relationships/hyperlink" Target="https://ycharts.com/companies/VPU" TargetMode="External"/><Relationship Id="rId14" Type="http://schemas.openxmlformats.org/officeDocument/2006/relationships/hyperlink" Target="https://consent.yahoo.com/v2/collectConsent" TargetMode="External"/><Relationship Id="rId15" Type="http://schemas.openxmlformats.org/officeDocument/2006/relationships/hyperlink" Target="https://finance.yahoo.com/news/vanguard-index-fund-once-decade-081200364.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