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giants join forces against California's SB 1047 legislation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striking coalition between two traditionally competitive sectors, a group of leading tech figures from prominent startup investors and established tech giants have united to collectively address concerns over proposed legislative regulatory measures, particularly focusing on California's SB 1047. The plea comes from notable figures such as Marc Andreessen and Ben Horowitz of venture capital firm Andreessen Horowitz, alongside Satya Nadella and Brad Smith of Microsoft. This collaboration exemplifies a rare alignment between venture capitalists and corporate executives.</w:t>
      </w:r>
      <w:r/>
    </w:p>
    <w:p>
      <w:r/>
      <w:r>
        <w:t>SB 1047, a legislative proposal in California, was the primary point of contention as it aimed to introduce regulations perceived by some in the tech industry as potentially stifling innovation. The bill, which faced strong opposition, proposed stricter disclosure requirements for open AI models, sparking debate over its potential impact on both large and small technology companies. Critics of the bill argued it would pose a significant compliance burden, disproportionately affecting startups that lack the resources of established corporations to navigate new legal landscapes.</w:t>
      </w:r>
      <w:r/>
    </w:p>
    <w:p>
      <w:r/>
      <w:r>
        <w:t>Anjney Midha, a general partner at Andreessen Horowitz, voiced concerns over SB 1047, labelling it a "regressive tax" on startups and an act of "regulatory capture" by larger tech entities that could afford to comply. Despite such assertions, the bill supposedly included provisions that would have only minimally impacted smaller tech companies while aiming to address the more significant influence of major tech corporations.</w:t>
      </w:r>
      <w:r/>
    </w:p>
    <w:p>
      <w:r/>
      <w:r>
        <w:t>This collective lobbying effort by Andreessen Horowitz and Microsoft highlights a strategic play that has become typical among tech behemoths. By stalling state-level regulations like SB 1047, they position themselves as advocates for federal legislation—the same federal policies that have historically struggled to gain traction due to political divisions.</w:t>
      </w:r>
      <w:r/>
    </w:p>
    <w:p>
      <w:r/>
      <w:r>
        <w:t>The joint statement from these industry leaders outlines a perspective that emphasises market-driven solutions over regulatory intervention. They argue for a framework that focuses more on addressing the misuse of technology rather than imposing preemptive restrictions. This is presented under the guise of fostering innovation without hindering the competitive landscape, especially regarding AI technology and the use of data.</w:t>
      </w:r>
      <w:r/>
    </w:p>
    <w:p>
      <w:r/>
      <w:r>
        <w:t>Central to their argument is the notion that machines should have the “right to learn”—a controversial stance suggesting that AI systems should be able to access data freely to enhance their learning capabilities, akin to human learning, despite the complexities intrinsic to copyright laws. Critics argue this perspective overlooks the substantial costs involved in producing original content and research, which copyright laws are intended to safeguard.</w:t>
      </w:r>
      <w:r/>
    </w:p>
    <w:p>
      <w:r/>
      <w:r>
        <w:t>This lobbying effort has drawn attention not only to the contentions over SB 1047 but also to longer-standing issues about how the tech industry interacts with regulations and intellectual property rights. The broader implications suggest a continuing tension between technological advancements and the evolving legal frameworks intended to manage their impact.</w:t>
      </w:r>
      <w:r/>
    </w:p>
    <w:p>
      <w:r/>
      <w:r>
        <w:t xml:space="preserve">While the alliance between Andreessen Horowitz and Microsoft has put forward several broad recommendations aimed at enhancing digital literacy and supporting open data initiatives, these are viewed as secondary to their main agenda of easing restrictions on AI to maintain competitive advantage. </w:t>
      </w:r>
      <w:r/>
    </w:p>
    <w:p>
      <w:r/>
      <w:r>
        <w:t>As observers scrutinise these developments, attention remains on how such coalitions influence public policy and the deployment of technology, highlighting a complex interplay of innovation, regulation, and corporate strategy.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https://progresschamber.org/act/dont-stifle-tech-innovation-in-ca/</w:t>
        </w:r>
      </w:hyperlink>
      <w:r>
        <w:t xml:space="preserve"> - Corroborates the opposition to SB 1047, highlighting its potential to stifle innovation and the unequal regulatory burden on startups and new players in AI.</w:t>
      </w:r>
      <w:r/>
    </w:p>
    <w:p>
      <w:pPr>
        <w:pStyle w:val="ListNumber"/>
        <w:spacing w:line="240" w:lineRule="auto"/>
        <w:ind w:left="720"/>
      </w:pPr>
      <w:r/>
      <w:hyperlink r:id="rId11">
        <w:r>
          <w:rPr>
            <w:color w:val="0000EE"/>
            <w:u w:val="single"/>
          </w:rPr>
          <w:t>https://www.winston.com/en/insights-news/navigating-californias-sb-1047-implications-for-ai-regulation-and-industry-impact</w:t>
        </w:r>
      </w:hyperlink>
      <w:r>
        <w:t xml:space="preserve"> - Details the key provisions of SB 1047, including annual independent third-party audits and the impact on both large and small tech companies.</w:t>
      </w:r>
      <w:r/>
    </w:p>
    <w:p>
      <w:pPr>
        <w:pStyle w:val="ListNumber"/>
        <w:spacing w:line="240" w:lineRule="auto"/>
        <w:ind w:left="720"/>
      </w:pPr>
      <w:r/>
      <w:hyperlink r:id="rId12">
        <w:r>
          <w:rPr>
            <w:color w:val="0000EE"/>
            <w:u w:val="single"/>
          </w:rPr>
          <w:t>https://www.gibsondunn.com/regulating-the-future-eight-key-takeaways-from-californias-sb-1047-vetoed-by-governor-newsom/</w:t>
        </w:r>
      </w:hyperlink>
      <w:r>
        <w:t xml:space="preserve"> - Outlines the specific requirements and enforcement mechanisms of SB 1047, including the role of the Attorney General and whistleblower protections.</w:t>
      </w:r>
      <w:r/>
    </w:p>
    <w:p>
      <w:pPr>
        <w:pStyle w:val="ListNumber"/>
        <w:spacing w:line="240" w:lineRule="auto"/>
        <w:ind w:left="720"/>
      </w:pPr>
      <w:r/>
      <w:hyperlink r:id="rId13">
        <w:r>
          <w:rPr>
            <w:color w:val="0000EE"/>
            <w:u w:val="single"/>
          </w:rPr>
          <w:t>https://carnegieendowment.org/posts/2024/09/california-sb1047-ai-safety-regulation?lang=en</w:t>
        </w:r>
      </w:hyperlink>
      <w:r>
        <w:t xml:space="preserve"> - Discusses the controversy surrounding SB 1047, its focus on pre-training and pre-deployment measures, and the debate over its approach to AI safety regulation.</w:t>
      </w:r>
      <w:r/>
    </w:p>
    <w:p>
      <w:pPr>
        <w:pStyle w:val="ListNumber"/>
        <w:spacing w:line="240" w:lineRule="auto"/>
        <w:ind w:left="720"/>
      </w:pPr>
      <w:r/>
      <w:hyperlink r:id="rId14">
        <w:r>
          <w:rPr>
            <w:color w:val="0000EE"/>
            <w:u w:val="single"/>
          </w:rPr>
          <w:t>https://fairnow.ai/california-sb-1047-executives-guide/</w:t>
        </w:r>
      </w:hyperlink>
      <w:r>
        <w:t xml:space="preserve"> - Provides an overview of SB 1047, including its veto by Governor Gavin Newsom, and the reactions from industry leaders and critics.</w:t>
      </w:r>
      <w:r/>
    </w:p>
    <w:p>
      <w:pPr>
        <w:pStyle w:val="ListNumber"/>
        <w:spacing w:line="240" w:lineRule="auto"/>
        <w:ind w:left="720"/>
      </w:pPr>
      <w:r/>
      <w:hyperlink r:id="rId10">
        <w:r>
          <w:rPr>
            <w:color w:val="0000EE"/>
            <w:u w:val="single"/>
          </w:rPr>
          <w:t>https://progresschamber.org/act/dont-stifle-tech-innovation-in-ca/</w:t>
        </w:r>
      </w:hyperlink>
      <w:r>
        <w:t xml:space="preserve"> - Supports the argument that SB 1047 could lead to regulatory arbitrage and economic losses for California, as companies might relocate to more favorable regulatory environments.</w:t>
      </w:r>
      <w:r/>
    </w:p>
    <w:p>
      <w:pPr>
        <w:pStyle w:val="ListNumber"/>
        <w:spacing w:line="240" w:lineRule="auto"/>
        <w:ind w:left="720"/>
      </w:pPr>
      <w:r/>
      <w:hyperlink r:id="rId11">
        <w:r>
          <w:rPr>
            <w:color w:val="0000EE"/>
            <w:u w:val="single"/>
          </w:rPr>
          <w:t>https://www.winston.com/en/insights-news/navigating-californias-sb-1047-implications-for-ai-regulation-and-industry-impact</w:t>
        </w:r>
      </w:hyperlink>
      <w:r>
        <w:t xml:space="preserve"> - Explains how the bill's stringent requirements could affect smaller companies and lead to consolidation in the AI industry.</w:t>
      </w:r>
      <w:r/>
    </w:p>
    <w:p>
      <w:pPr>
        <w:pStyle w:val="ListNumber"/>
        <w:spacing w:line="240" w:lineRule="auto"/>
        <w:ind w:left="720"/>
      </w:pPr>
      <w:r/>
      <w:hyperlink r:id="rId12">
        <w:r>
          <w:rPr>
            <w:color w:val="0000EE"/>
            <w:u w:val="single"/>
          </w:rPr>
          <w:t>https://www.gibsondunn.com/regulating-the-future-eight-key-takeaways-from-californias-sb-1047-vetoed-by-governor-newsom/</w:t>
        </w:r>
      </w:hyperlink>
      <w:r>
        <w:t xml:space="preserve"> - Details the compliance obligations, including the need for developers to implement technical and organizational controls to prevent critical harms.</w:t>
      </w:r>
      <w:r/>
    </w:p>
    <w:p>
      <w:pPr>
        <w:pStyle w:val="ListNumber"/>
        <w:spacing w:line="240" w:lineRule="auto"/>
        <w:ind w:left="720"/>
      </w:pPr>
      <w:r/>
      <w:hyperlink r:id="rId13">
        <w:r>
          <w:rPr>
            <w:color w:val="0000EE"/>
            <w:u w:val="single"/>
          </w:rPr>
          <w:t>https://carnegieendowment.org/posts/2024/09/california-sb1047-ai-safety-regulation?lang=en</w:t>
        </w:r>
      </w:hyperlink>
      <w:r>
        <w:t xml:space="preserve"> - Highlights the debate over the bill's focus on national security risks and its appropriateness for state-level regulation versus federal action.</w:t>
      </w:r>
      <w:r/>
    </w:p>
    <w:p>
      <w:pPr>
        <w:pStyle w:val="ListNumber"/>
        <w:spacing w:line="240" w:lineRule="auto"/>
        <w:ind w:left="720"/>
      </w:pPr>
      <w:r/>
      <w:hyperlink r:id="rId14">
        <w:r>
          <w:rPr>
            <w:color w:val="0000EE"/>
            <w:u w:val="single"/>
          </w:rPr>
          <w:t>https://fairnow.ai/california-sb-1047-executives-guide/</w:t>
        </w:r>
      </w:hyperlink>
      <w:r>
        <w:t xml:space="preserve"> - Corroborates Governor Newsom's veto of SB 1047 and his reasons for doing so, including the bill's limitations and exclusions.</w:t>
      </w:r>
      <w:r/>
    </w:p>
    <w:p>
      <w:pPr>
        <w:pStyle w:val="ListNumber"/>
        <w:spacing w:line="240" w:lineRule="auto"/>
        <w:ind w:left="720"/>
      </w:pPr>
      <w:r/>
      <w:hyperlink r:id="rId11">
        <w:r>
          <w:rPr>
            <w:color w:val="0000EE"/>
            <w:u w:val="single"/>
          </w:rPr>
          <w:t>https://www.winston.com/en/insights-news/navigating-californias-sb-1047-implications-for-ai-regulation-and-industry-impact</w:t>
        </w:r>
      </w:hyperlink>
      <w:r>
        <w:t xml:space="preserve"> - Discusses the broader implications of SB 1047 on the tech industry, including the potential for it to serve as a template for future legislation.</w:t>
      </w:r>
      <w:r/>
    </w:p>
    <w:p>
      <w:pPr>
        <w:pStyle w:val="ListNumber"/>
        <w:spacing w:line="240" w:lineRule="auto"/>
        <w:ind w:left="720"/>
      </w:pPr>
      <w:r/>
      <w:hyperlink r:id="rId15">
        <w:r>
          <w:rPr>
            <w:color w:val="0000EE"/>
            <w:u w:val="single"/>
          </w:rPr>
          <w:t>https://techcrunch.com/2024/11/01/microsoft-and-a16z-set-aside-differences-join-hands-in-plea-against-ai-regulation/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rogresschamber.org/act/dont-stifle-tech-innovation-in-ca/" TargetMode="External"/><Relationship Id="rId11" Type="http://schemas.openxmlformats.org/officeDocument/2006/relationships/hyperlink" Target="https://www.winston.com/en/insights-news/navigating-californias-sb-1047-implications-for-ai-regulation-and-industry-impact" TargetMode="External"/><Relationship Id="rId12" Type="http://schemas.openxmlformats.org/officeDocument/2006/relationships/hyperlink" Target="https://www.gibsondunn.com/regulating-the-future-eight-key-takeaways-from-californias-sb-1047-vetoed-by-governor-newsom/" TargetMode="External"/><Relationship Id="rId13" Type="http://schemas.openxmlformats.org/officeDocument/2006/relationships/hyperlink" Target="https://carnegieendowment.org/posts/2024/09/california-sb1047-ai-safety-regulation?lang=en" TargetMode="External"/><Relationship Id="rId14" Type="http://schemas.openxmlformats.org/officeDocument/2006/relationships/hyperlink" Target="https://fairnow.ai/california-sb-1047-executives-guide/" TargetMode="External"/><Relationship Id="rId15" Type="http://schemas.openxmlformats.org/officeDocument/2006/relationships/hyperlink" Target="https://techcrunch.com/2024/11/01/microsoft-and-a16z-set-aside-differences-join-hands-in-plea-against-ai-regul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