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Treasury Department unveils new outbound investment regulations targeting Chinese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Treasury Department Unveils New Outbound Investment Regulations Targeting Chinese Technologies</w:t>
      </w:r>
      <w:r/>
    </w:p>
    <w:p>
      <w:r/>
      <w:r>
        <w:t>On 28 October 2024, the U.S. Department of the Treasury's Office of Investment Security released a set of final regulations, a decisive move underlining the United States' strategic posture towards China's emerging technological sectors. These regulations, part of the new "Outbound Investment Security Program," are slated to come into effect on 2 January 2025. They are designed to monitor and, in some cases, restrict or require mandatory notification for U.S. persons engaging in investments related to critical technology domains within China.</w:t>
      </w:r>
      <w:r/>
    </w:p>
    <w:p>
      <w:r/>
      <w:r>
        <w:rPr>
          <w:b/>
        </w:rPr>
        <w:t>Focus on Key Technologies</w:t>
      </w:r>
      <w:r/>
    </w:p>
    <w:p>
      <w:r/>
      <w:r>
        <w:t>The regulations focus on three pivotal areas of technology: quantum information technologies, semiconductors and microelectronics, and certain artificial intelligence (AI) technologies. This strategic targeting addresses U.S. national security concerns, aiming to curb technological advancements in China that may bolster military capabilities.</w:t>
      </w:r>
      <w:r/>
    </w:p>
    <w:p>
      <w:r/>
      <w:r>
        <w:rPr>
          <w:b/>
        </w:rPr>
        <w:t>Program Details</w:t>
      </w:r>
      <w:r/>
    </w:p>
    <w:p>
      <w:r/>
      <w:r>
        <w:t>The program mandates that U.S. persons, defined broadly to encompass U.S. citizens, legal permanent residents, U.S.-organised entities, and any person present in the U.S., adhere to new investment protocols. U.S. investors must navigate these regulations to avoid potential penalties analogous to those imposed by the Office of Foreign Asset Control (OFAC) for sanctions violations.</w:t>
      </w:r>
      <w:r/>
    </w:p>
    <w:p>
      <w:r/>
      <w:r>
        <w:t>Key obligations include the requirement for U.S. persons to conduct "reasonable and diligent inquiry" into transactions to identify if they involve prohibited or notifiable activities with "covered foreign persons" in China. Enforcement measures include hefty penalties and potential divestment orders for non-compliance.</w:t>
      </w:r>
      <w:r/>
    </w:p>
    <w:p>
      <w:r/>
      <w:r>
        <w:rPr>
          <w:b/>
        </w:rPr>
        <w:t>Comprehensive Coverage and Exemptions</w:t>
      </w:r>
      <w:r/>
    </w:p>
    <w:p>
      <w:r/>
      <w:r>
        <w:t>The regulations encompass a wide array of investment forms, including equity acquisitions, joint ventures, and certain debt instruments, while offering exemptions for investments in public securities, mutual funds, and specific intracompany transfers.</w:t>
      </w:r>
      <w:r/>
    </w:p>
    <w:p>
      <w:r/>
      <w:r>
        <w:t>Moreover, the scope of “covered foreign persons” involves not just entities in China but also those entities with substantial Chinese ownership or economic ties.</w:t>
      </w:r>
      <w:r/>
    </w:p>
    <w:p>
      <w:r/>
      <w:r>
        <w:rPr>
          <w:b/>
        </w:rPr>
        <w:t>Notification Requirements</w:t>
      </w:r>
      <w:r/>
    </w:p>
    <w:p>
      <w:r/>
      <w:r>
        <w:t>Transactions deemed notifiable under these regulations must be reported to Treasury within 30 days of completion. The notification protocol includes detailed information regarding involved parties, the nature of investments, and related technological engagements, underscoring the depth of scrutiny U.S. investments will face under the new regime.</w:t>
      </w:r>
      <w:r/>
    </w:p>
    <w:p>
      <w:r/>
      <w:r>
        <w:rPr>
          <w:b/>
        </w:rPr>
        <w:t>Strategic Implications and Broader Legislative Context</w:t>
      </w:r>
      <w:r/>
    </w:p>
    <w:p>
      <w:r/>
      <w:r>
        <w:t>This move builds on President Joe Biden’s Executive Order from August 2023, which establishes China as a "country of concern." These measures form part of broader U.S. strategies aimed at mitigating national security risks posed by foreign technological developments.</w:t>
      </w:r>
      <w:r/>
    </w:p>
    <w:p>
      <w:r/>
      <w:r>
        <w:t>The impact of these regulations extends beyond immediate compliance challenges, representing a significant shift in U.S.--China economic policies and potentially influencing global investment patterns.</w:t>
      </w:r>
      <w:r/>
    </w:p>
    <w:p>
      <w:r/>
      <w:r>
        <w:t>The final rule's introduction has drawn varied responses on Capitol Hill, with legislative proposals seeking to either align or expand on these regulatory interventions. While some senators have suggested a wider notification-only system covering diverse global actors like North Korea and Iran, others in the House advocate for maintaining a focused sectoral approach.</w:t>
      </w:r>
      <w:r/>
    </w:p>
    <w:p>
      <w:r/>
      <w:r>
        <w:rPr>
          <w:b/>
        </w:rPr>
        <w:t>Future Considerations</w:t>
      </w:r>
      <w:r/>
    </w:p>
    <w:p>
      <w:r/>
      <w:r>
        <w:t>As the new regulations prepare to reshape investment strategies, U.S. companies involved in semiconductor, AI, and quantum technology sectors must remain vigilant, not only in monitoring their direct investments but also in scrutinising those made by their foreign subsidiaries.</w:t>
      </w:r>
      <w:r/>
    </w:p>
    <w:p>
      <w:r/>
      <w:r>
        <w:t>The forthcoming months will likely see increased dialogue among international stakeholders as they assess similar frameworks to safeguard against the proliferation of sensitive technologies enhancing China’s strategic capabilities. The final rule represents a landmark regulation as the U.S. extends its economic security measures to encompass outbound investments, with potential ripple effects on global investment flows and technological collaborations.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https://home.treasury.gov/news/press-releases/jy2690</w:t>
        </w:r>
      </w:hyperlink>
      <w:r>
        <w:t xml:space="preserve"> - Corroborates the release of final regulations by the U.S. Department of the Treasury on October 28, 2024, and the effective date of January 2, 2025.</w:t>
      </w:r>
      <w:r/>
    </w:p>
    <w:p>
      <w:pPr>
        <w:pStyle w:val="ListNumber"/>
        <w:spacing w:line="240" w:lineRule="auto"/>
        <w:ind w:left="720"/>
      </w:pPr>
      <w:r/>
      <w:hyperlink r:id="rId10">
        <w:r>
          <w:rPr>
            <w:color w:val="0000EE"/>
            <w:u w:val="single"/>
          </w:rPr>
          <w:t>https://home.treasury.gov/news/press-releases/jy2690</w:t>
        </w:r>
      </w:hyperlink>
      <w:r>
        <w:t xml:space="preserve"> - Details the focus on critical technology domains such as semiconductors, microelectronics, quantum information technologies, and artificial intelligence.</w:t>
      </w:r>
      <w:r/>
    </w:p>
    <w:p>
      <w:pPr>
        <w:pStyle w:val="ListNumber"/>
        <w:spacing w:line="240" w:lineRule="auto"/>
        <w:ind w:left="720"/>
      </w:pPr>
      <w:r/>
      <w:hyperlink r:id="rId11">
        <w:r>
          <w:rPr>
            <w:color w:val="0000EE"/>
            <w:u w:val="single"/>
          </w:rPr>
          <w:t>https://www.dechert.com/knowledge/onpoint/2024/10/us-outbound-investment-program-targeting-emerging-chinese-technology-has-arrived.html</w:t>
        </w:r>
      </w:hyperlink>
      <w:r>
        <w:t xml:space="preserve"> - Explains the program's targeting of U.S. persons, including U.S. citizens, legal permanent residents, and U.S.-organized entities, and their obligations under the new regulations.</w:t>
      </w:r>
      <w:r/>
    </w:p>
    <w:p>
      <w:pPr>
        <w:pStyle w:val="ListNumber"/>
        <w:spacing w:line="240" w:lineRule="auto"/>
        <w:ind w:left="720"/>
      </w:pPr>
      <w:r/>
      <w:hyperlink r:id="rId12">
        <w:r>
          <w:rPr>
            <w:color w:val="0000EE"/>
            <w:u w:val="single"/>
          </w:rPr>
          <w:t>https://home.treasury.gov/policy-issues/international/outbound-investment-program</w:t>
        </w:r>
      </w:hyperlink>
      <w:r>
        <w:t xml:space="preserve"> - Outlines the requirement for U.S. persons to conduct 'reasonable and diligent inquiry' into transactions to identify if they involve prohibited or notifiable activities with 'covered foreign persons' in China.</w:t>
      </w:r>
      <w:r/>
    </w:p>
    <w:p>
      <w:pPr>
        <w:pStyle w:val="ListNumber"/>
        <w:spacing w:line="240" w:lineRule="auto"/>
        <w:ind w:left="720"/>
      </w:pPr>
      <w:r/>
      <w:hyperlink r:id="rId13">
        <w:r>
          <w:rPr>
            <w:color w:val="0000EE"/>
            <w:u w:val="single"/>
          </w:rPr>
          <w:t>https://www.gibsondunn.com/much-ado-about-outbound-unpacking-the-newest-us-regulatory-regime/</w:t>
        </w:r>
      </w:hyperlink>
      <w:r>
        <w:t xml:space="preserve"> - Describes the enforcement measures, including hefty penalties and potential divestment orders for non-compliance, similar to those imposed by OFAC.</w:t>
      </w:r>
      <w:r/>
    </w:p>
    <w:p>
      <w:pPr>
        <w:pStyle w:val="ListNumber"/>
        <w:spacing w:line="240" w:lineRule="auto"/>
        <w:ind w:left="720"/>
      </w:pPr>
      <w:r/>
      <w:hyperlink r:id="rId14">
        <w:r>
          <w:rPr>
            <w:color w:val="0000EE"/>
            <w:u w:val="single"/>
          </w:rPr>
          <w:t>https://www.engage.hoganlovells.com/knowledgeservices/news/us-treasury-rule-establishes-outbound-investment-security-program</w:t>
        </w:r>
      </w:hyperlink>
      <w:r>
        <w:t xml:space="preserve"> - Details the comprehensive coverage of investment forms, including equity acquisitions, joint ventures, and certain debt instruments, as well as exemptions for investments in public securities and specific intracompany transfers.</w:t>
      </w:r>
      <w:r/>
    </w:p>
    <w:p>
      <w:pPr>
        <w:pStyle w:val="ListNumber"/>
        <w:spacing w:line="240" w:lineRule="auto"/>
        <w:ind w:left="720"/>
      </w:pPr>
      <w:r/>
      <w:hyperlink r:id="rId10">
        <w:r>
          <w:rPr>
            <w:color w:val="0000EE"/>
            <w:u w:val="single"/>
          </w:rPr>
          <w:t>https://home.treasury.gov/news/press-releases/jy2690</w:t>
        </w:r>
      </w:hyperlink>
      <w:r>
        <w:t xml:space="preserve"> - Explains the scope of 'covered foreign persons' involving not just entities in China but also those with substantial Chinese ownership or economic ties.</w:t>
      </w:r>
      <w:r/>
    </w:p>
    <w:p>
      <w:pPr>
        <w:pStyle w:val="ListNumber"/>
        <w:spacing w:line="240" w:lineRule="auto"/>
        <w:ind w:left="720"/>
      </w:pPr>
      <w:r/>
      <w:hyperlink r:id="rId11">
        <w:r>
          <w:rPr>
            <w:color w:val="0000EE"/>
            <w:u w:val="single"/>
          </w:rPr>
          <w:t>https://www.dechert.com/knowledge/onpoint/2024/10/us-outbound-investment-program-targeting-emerging-chinese-technology-has-arrived.html</w:t>
        </w:r>
      </w:hyperlink>
      <w:r>
        <w:t xml:space="preserve"> - Corroborates the notification requirements, including the need to report transactions within 30 days of completion and the detailed information required in the notifications.</w:t>
      </w:r>
      <w:r/>
    </w:p>
    <w:p>
      <w:pPr>
        <w:pStyle w:val="ListNumber"/>
        <w:spacing w:line="240" w:lineRule="auto"/>
        <w:ind w:left="720"/>
      </w:pPr>
      <w:r/>
      <w:hyperlink r:id="rId12">
        <w:r>
          <w:rPr>
            <w:color w:val="0000EE"/>
            <w:u w:val="single"/>
          </w:rPr>
          <w:t>https://home.treasury.gov/policy-issues/international/outbound-investment-program</w:t>
        </w:r>
      </w:hyperlink>
      <w:r>
        <w:t xml:space="preserve"> - Provides context on President Joe Biden’s Executive Order from August 2023, which establishes China as a 'country of concern' and forms part of broader U.S. strategies to mitigate national security risks.</w:t>
      </w:r>
      <w:r/>
    </w:p>
    <w:p>
      <w:pPr>
        <w:pStyle w:val="ListNumber"/>
        <w:spacing w:line="240" w:lineRule="auto"/>
        <w:ind w:left="720"/>
      </w:pPr>
      <w:r/>
      <w:hyperlink r:id="rId13">
        <w:r>
          <w:rPr>
            <w:color w:val="0000EE"/>
            <w:u w:val="single"/>
          </w:rPr>
          <w:t>https://www.gibsondunn.com/much-ado-about-outbound-unpacking-the-newest-us-regulatory-regime/</w:t>
        </w:r>
      </w:hyperlink>
      <w:r>
        <w:t xml:space="preserve"> - Discusses the strategic implications and broader legislative context, including potential influences on global investment patterns and responses on Capitol Hill.</w:t>
      </w:r>
      <w:r/>
    </w:p>
    <w:p>
      <w:pPr>
        <w:pStyle w:val="ListNumber"/>
        <w:spacing w:line="240" w:lineRule="auto"/>
        <w:ind w:left="720"/>
      </w:pPr>
      <w:r/>
      <w:hyperlink r:id="rId14">
        <w:r>
          <w:rPr>
            <w:color w:val="0000EE"/>
            <w:u w:val="single"/>
          </w:rPr>
          <w:t>https://www.engage.hoganlovells.com/knowledgeservices/news/us-treasury-rule-establishes-outbound-investment-security-program</w:t>
        </w:r>
      </w:hyperlink>
      <w:r>
        <w:t xml:space="preserve"> - Highlights the need for U.S. companies to remain vigilant in monitoring their direct investments and those made by their foreign subsidiaries, and the potential for increased dialogue among international stakeholders.</w:t>
      </w:r>
      <w:r/>
    </w:p>
    <w:p>
      <w:pPr>
        <w:pStyle w:val="ListNumber"/>
        <w:spacing w:line="240" w:lineRule="auto"/>
        <w:ind w:left="720"/>
      </w:pPr>
      <w:r/>
      <w:hyperlink r:id="rId15">
        <w:r>
          <w:rPr>
            <w:color w:val="0000EE"/>
            <w:u w:val="single"/>
          </w:rPr>
          <w:t>https://natlawreview.com/article/us-outbound-investment-regulations-take-effect-january-2-2025</w:t>
        </w:r>
      </w:hyperlink>
      <w:r>
        <w:t xml:space="preserve"> - Please view link - unable to able to access data</w:t>
      </w:r>
      <w:r/>
    </w:p>
    <w:p>
      <w:pPr>
        <w:pStyle w:val="ListNumber"/>
        <w:spacing w:line="240" w:lineRule="auto"/>
        <w:ind w:left="720"/>
      </w:pPr>
      <w:r/>
      <w:hyperlink r:id="rId16">
        <w:r>
          <w:rPr>
            <w:color w:val="0000EE"/>
            <w:u w:val="single"/>
          </w:rPr>
          <w:t>https://www.jdsupra.com/legalnews/founder-series-managing-investment-6648228/</w:t>
        </w:r>
      </w:hyperlink>
      <w:r>
        <w:t xml:space="preserve"> - Please view link - unable to able to access data</w:t>
      </w:r>
      <w:r/>
    </w:p>
    <w:p>
      <w:pPr>
        <w:pStyle w:val="ListNumber"/>
        <w:spacing w:line="240" w:lineRule="auto"/>
        <w:ind w:left="720"/>
      </w:pPr>
      <w:r/>
      <w:hyperlink r:id="rId17">
        <w:r>
          <w:rPr>
            <w:color w:val="0000EE"/>
            <w:u w:val="single"/>
          </w:rPr>
          <w:t>https://www.jdsupra.com/legalnews/third-quarter-2024-government-contracts-4393145/</w:t>
        </w:r>
      </w:hyperlink>
      <w:r>
        <w:t xml:space="preserve"> - Please view link - unable to able to access data</w:t>
      </w:r>
      <w:r/>
    </w:p>
    <w:p>
      <w:pPr>
        <w:pStyle w:val="ListNumber"/>
        <w:spacing w:line="240" w:lineRule="auto"/>
        <w:ind w:left="720"/>
      </w:pPr>
      <w:r/>
      <w:hyperlink r:id="rId18">
        <w:r>
          <w:rPr>
            <w:color w:val="0000EE"/>
            <w:u w:val="single"/>
          </w:rPr>
          <w:t>https://www.jdsupra.com/legalnews/u-s-outbound-investment-security-8862397/</w:t>
        </w:r>
      </w:hyperlink>
      <w:r>
        <w:t xml:space="preserve"> - Please view link - unable to able to access data</w:t>
      </w:r>
      <w:r/>
    </w:p>
    <w:p>
      <w:pPr>
        <w:pStyle w:val="ListNumber"/>
        <w:spacing w:line="240" w:lineRule="auto"/>
        <w:ind w:left="720"/>
      </w:pPr>
      <w:r/>
      <w:hyperlink r:id="rId19">
        <w:r>
          <w:rPr>
            <w:color w:val="0000EE"/>
            <w:u w:val="single"/>
          </w:rPr>
          <w:t>https://www.jdsupra.com/legalnews/justice-proposes-to-restrict-u-s-8574406/</w:t>
        </w:r>
      </w:hyperlink>
      <w:r>
        <w:t xml:space="preserve"> - Please view link - unable to able to access data</w:t>
      </w:r>
      <w:r/>
    </w:p>
    <w:p>
      <w:pPr>
        <w:pStyle w:val="ListNumber"/>
        <w:spacing w:line="240" w:lineRule="auto"/>
        <w:ind w:left="720"/>
      </w:pPr>
      <w:r/>
      <w:hyperlink r:id="rId20">
        <w:r>
          <w:rPr>
            <w:color w:val="0000EE"/>
            <w:u w:val="single"/>
          </w:rPr>
          <w:t>https://www.jdsupra.com/legalnews/deadline-approaches-fincen-s-rules-for-9819986/</w:t>
        </w:r>
      </w:hyperlink>
      <w:r>
        <w:t xml:space="preserve"> - Please view link - unable to able to access data</w:t>
      </w:r>
      <w:r/>
    </w:p>
    <w:p>
      <w:pPr>
        <w:pStyle w:val="ListNumber"/>
        <w:spacing w:line="240" w:lineRule="auto"/>
        <w:ind w:left="720"/>
      </w:pPr>
      <w:r/>
      <w:hyperlink r:id="rId21">
        <w:r>
          <w:rPr>
            <w:color w:val="0000EE"/>
            <w:u w:val="single"/>
          </w:rPr>
          <w:t>https://www.jdsupra.com/legalnews/international-compliance-digest-october-5534378/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ome.treasury.gov/news/press-releases/jy2690" TargetMode="External"/><Relationship Id="rId11" Type="http://schemas.openxmlformats.org/officeDocument/2006/relationships/hyperlink" Target="https://www.dechert.com/knowledge/onpoint/2024/10/us-outbound-investment-program-targeting-emerging-chinese-technology-has-arrived.html" TargetMode="External"/><Relationship Id="rId12" Type="http://schemas.openxmlformats.org/officeDocument/2006/relationships/hyperlink" Target="https://home.treasury.gov/policy-issues/international/outbound-investment-program" TargetMode="External"/><Relationship Id="rId13" Type="http://schemas.openxmlformats.org/officeDocument/2006/relationships/hyperlink" Target="https://www.gibsondunn.com/much-ado-about-outbound-unpacking-the-newest-us-regulatory-regime/" TargetMode="External"/><Relationship Id="rId14" Type="http://schemas.openxmlformats.org/officeDocument/2006/relationships/hyperlink" Target="https://www.engage.hoganlovells.com/knowledgeservices/news/us-treasury-rule-establishes-outbound-investment-security-program" TargetMode="External"/><Relationship Id="rId15" Type="http://schemas.openxmlformats.org/officeDocument/2006/relationships/hyperlink" Target="https://natlawreview.com/article/us-outbound-investment-regulations-take-effect-january-2-2025" TargetMode="External"/><Relationship Id="rId16" Type="http://schemas.openxmlformats.org/officeDocument/2006/relationships/hyperlink" Target="https://www.jdsupra.com/legalnews/founder-series-managing-investment-6648228/" TargetMode="External"/><Relationship Id="rId17" Type="http://schemas.openxmlformats.org/officeDocument/2006/relationships/hyperlink" Target="https://www.jdsupra.com/legalnews/third-quarter-2024-government-contracts-4393145/" TargetMode="External"/><Relationship Id="rId18" Type="http://schemas.openxmlformats.org/officeDocument/2006/relationships/hyperlink" Target="https://www.jdsupra.com/legalnews/u-s-outbound-investment-security-8862397/" TargetMode="External"/><Relationship Id="rId19" Type="http://schemas.openxmlformats.org/officeDocument/2006/relationships/hyperlink" Target="https://www.jdsupra.com/legalnews/justice-proposes-to-restrict-u-s-8574406/" TargetMode="External"/><Relationship Id="rId20" Type="http://schemas.openxmlformats.org/officeDocument/2006/relationships/hyperlink" Target="https://www.jdsupra.com/legalnews/deadline-approaches-fincen-s-rules-for-9819986/" TargetMode="External"/><Relationship Id="rId21" Type="http://schemas.openxmlformats.org/officeDocument/2006/relationships/hyperlink" Target="https://www.jdsupra.com/legalnews/international-compliance-digest-october-553437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