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 Street invests over $11 billion in neocloud start-ups amidst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Wall Street Invests Over $11 Billion in Neocloud Start-Ups Amidst AI Boom</w:t>
      </w:r>
      <w:r/>
    </w:p>
    <w:p>
      <w:r/>
      <w:r>
        <w:t>In an unprecedented financial move, some of Wall Street's largest institutions, including Blackstone, Pimco, Carlyle, and BlackRock, have collectively injected more than $11 billion in loans into a niche group of tech companies known as neocloud organisations. These firms, such as CoreWeave, Crusoe, and Lambda Labs, primarily operate in the cloud computing sector and are heavily invested in developing artificial intelligence (AI) models using Nvidia’s specialised AI chips.</w:t>
      </w:r>
      <w:r/>
    </w:p>
    <w:p>
      <w:r/>
      <w:r>
        <w:t>The burgeoning AI industry has highlighted the critical importance of Nvidia’s graphics processing units (GPUs), which form the cornerstone of these companies' operations. As the demand for advanced generative AI models increases, these chips have become a form of collateral in this rapidly expanding debt market.</w:t>
      </w:r>
      <w:r/>
    </w:p>
    <w:p>
      <w:r/>
      <w:r>
        <w:rPr>
          <w:b/>
        </w:rPr>
        <w:t>CoreWeave’s Significant Role</w:t>
      </w:r>
      <w:r/>
    </w:p>
    <w:p>
      <w:r/>
      <w:r>
        <w:t>A major player in this landscape is CoreWeave, positioned as the largest private operator of Nvidia GPUs in North America. Initially founded in New Jersey in 2017 as a cryptocurrency mining company, CoreWeave shifted its focus to AI two years later. The firm currently holds more than 45,000 Nvidia GPUs and has seen its valuation skyrocket from $2 billion to $19 billion within the past year and a half, strongly backed by venture capital and direct investment from Nvidia.</w:t>
      </w:r>
      <w:r/>
    </w:p>
    <w:p>
      <w:r/>
      <w:r>
        <w:t>CoreWeave has been able to raise over $10 billion in debt from financial giants such as Blackstone and Carlyle, and most recently, secured a $650 million credit line from prominent Wall Street banks including JPMorgan, Goldman Sachs, and Morgan Stanley. This strategic financing is secured against its substantial stock of Nvidia chips, which it reinvests to acquire more, supporting its expansion plans to establish 28 data centres across the United States and Asia by the end of 2024.</w:t>
      </w:r>
      <w:r/>
    </w:p>
    <w:p>
      <w:r/>
      <w:r>
        <w:rPr>
          <w:b/>
        </w:rPr>
        <w:t>Financial Dynamics and Credit Risks</w:t>
      </w:r>
      <w:r/>
    </w:p>
    <w:p>
      <w:r/>
      <w:r>
        <w:t>While CoreWeave’s revenue is expected to rise to approximately $2 billion this year, its financial structure remains heavily leveraged. In contrast to its first major $2.3 billion debt financing announced in August 2023, revenues were barely $25 million with negative EBITDA. Crucially, CoreWeave’s financing was partly swayed by a significant contract with Microsoft, expected to yield over $1 billion in revenue, showcasing the symbiotic reliance between tech giants and neocloud firms.</w:t>
      </w:r>
      <w:r/>
    </w:p>
    <w:p>
      <w:r/>
      <w:r>
        <w:t>The dependency of neoclouds on Nvidia’s hardware and financial backing has drawn some criticism. Critics have raised concerns over the depreciating value of the GPUs being used as collateral, given the volatility in pricing and the rapid advancement of new chip models. The cost of GPU computing power has fluctuated significantly, dropping from $8 per hour early this year to $2 in recent months, a consequence of increased supply and the resale of hardware reserves.</w:t>
      </w:r>
      <w:r/>
    </w:p>
    <w:p>
      <w:r/>
      <w:r>
        <w:rPr>
          <w:b/>
        </w:rPr>
        <w:t>Market Dynamics and Future Outlook</w:t>
      </w:r>
      <w:r/>
    </w:p>
    <w:p>
      <w:r/>
      <w:r>
        <w:t>As the race within AI intensifies, other tech giants and chip manufacturers like AMD are accelerating development of alternative high-performance GPUs, posing a competitive challenge to Nvidia. Furthermore, some companies are constructing their own AI chips, further diversifying the options available in the market.</w:t>
      </w:r>
      <w:r/>
    </w:p>
    <w:p>
      <w:r/>
      <w:r>
        <w:t>For lenders and financial backers in the neocloud space, the crux of future success lies in AI's continued technological progress and demand. Erik Falk, head of strategy at Magnetar, expressed optimism, citing historical trends where technological demand forecasts often underestimated actual growth.</w:t>
      </w:r>
      <w:r/>
    </w:p>
    <w:p>
      <w:r/>
      <w:r>
        <w:t>In summary, while the financial influx into neocloud companies represents a significant investment in AI's future, it also comes with financial intricacies and market challenges that stakeholders have to navigate. The interaction between technological innovation, market demand, and financial strategy will ultimately dictate the trajectory of these enterprises in the 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https://www.nytimes.com/2024/07/03/technology/ai-startups-funding.html</w:t>
        </w:r>
      </w:hyperlink>
      <w:r>
        <w:t xml:space="preserve"> - Corroborates the significant funding injected into AI start-ups, including CoreWeave's substantial funding and valuation increase.</w:t>
      </w:r>
      <w:r/>
    </w:p>
    <w:p>
      <w:pPr>
        <w:pStyle w:val="ListNumber"/>
        <w:spacing w:line="240" w:lineRule="auto"/>
        <w:ind w:left="720"/>
      </w:pPr>
      <w:r/>
      <w:hyperlink r:id="rId11">
        <w:r>
          <w:rPr>
            <w:color w:val="0000EE"/>
            <w:u w:val="single"/>
          </w:rPr>
          <w:t>https://www.axios.com/2024/07/08/ai-stock-market</w:t>
        </w:r>
      </w:hyperlink>
      <w:r>
        <w:t xml:space="preserve"> - Supports the growing investment in AI start-ups and the emergence of new AI unicorns, including CoreWeave's valuation.</w:t>
      </w:r>
      <w:r/>
    </w:p>
    <w:p>
      <w:pPr>
        <w:pStyle w:val="ListNumber"/>
        <w:spacing w:line="240" w:lineRule="auto"/>
        <w:ind w:left="720"/>
      </w:pPr>
      <w:r/>
      <w:hyperlink r:id="rId12">
        <w:r>
          <w:rPr>
            <w:color w:val="0000EE"/>
            <w:u w:val="single"/>
          </w:rPr>
          <w:t>https://www.bloomberg.com/news/articles/2024-11-01/tech-giants-are-set-to-spend-200-billion-this-year-chasing-ai</w:t>
        </w:r>
      </w:hyperlink>
      <w:r>
        <w:t xml:space="preserve"> - Highlights the significant investments by tech giants in AI development, which includes the use of Nvidia’s GPUs.</w:t>
      </w:r>
      <w:r/>
    </w:p>
    <w:p>
      <w:pPr>
        <w:pStyle w:val="ListNumber"/>
        <w:spacing w:line="240" w:lineRule="auto"/>
        <w:ind w:left="720"/>
      </w:pPr>
      <w:r/>
      <w:hyperlink r:id="rId13">
        <w:r>
          <w:rPr>
            <w:color w:val="0000EE"/>
            <w:u w:val="single"/>
          </w:rPr>
          <w:t>https://www.nea.com/blog/ai-infrastructure</w:t>
        </w:r>
      </w:hyperlink>
      <w:r>
        <w:t xml:space="preserve"> - Discusses the critical role of Nvidia’s GPUs in AI infrastructure and the investment in AI infrastructure startups.</w:t>
      </w:r>
      <w:r/>
    </w:p>
    <w:p>
      <w:pPr>
        <w:pStyle w:val="ListNumber"/>
        <w:spacing w:line="240" w:lineRule="auto"/>
        <w:ind w:left="720"/>
      </w:pPr>
      <w:r/>
      <w:hyperlink r:id="rId14">
        <w:r>
          <w:rPr>
            <w:color w:val="0000EE"/>
            <w:u w:val="single"/>
          </w:rPr>
          <w:t>https://www.pymnts.com/news/artificial-intelligence/2024/new-york-city-that-never-sleeps-dreams-being-silicon-valley/</w:t>
        </w:r>
      </w:hyperlink>
      <w:r>
        <w:t xml:space="preserve"> - Provides context on the broader AI industry growth and the importance of AI infrastructure, although not specifically about neocloud companies.</w:t>
      </w:r>
      <w:r/>
    </w:p>
    <w:p>
      <w:pPr>
        <w:pStyle w:val="ListNumber"/>
        <w:spacing w:line="240" w:lineRule="auto"/>
        <w:ind w:left="720"/>
      </w:pPr>
      <w:r/>
      <w:hyperlink r:id="rId9">
        <w:r>
          <w:rPr>
            <w:color w:val="0000EE"/>
            <w:u w:val="single"/>
          </w:rPr>
          <w:t>https://www.noahwire.com</w:t>
        </w:r>
      </w:hyperlink>
      <w:r>
        <w:t xml:space="preserve"> - The original source article, though not directly accessible, is referenced here as it is the primary source of the information provided.</w:t>
      </w:r>
      <w:r/>
    </w:p>
    <w:p>
      <w:pPr>
        <w:pStyle w:val="ListNumber"/>
        <w:spacing w:line="240" w:lineRule="auto"/>
        <w:ind w:left="720"/>
      </w:pPr>
      <w:r/>
      <w:hyperlink r:id="rId13">
        <w:r>
          <w:rPr>
            <w:color w:val="0000EE"/>
            <w:u w:val="single"/>
          </w:rPr>
          <w:t>https://www.nea.com/blog/ai-infrastructure</w:t>
        </w:r>
      </w:hyperlink>
      <w:r>
        <w:t xml:space="preserve"> - Details the financial dynamics and investments in AI infrastructure companies, similar to the financing model of neocloud firms.</w:t>
      </w:r>
      <w:r/>
    </w:p>
    <w:p>
      <w:pPr>
        <w:pStyle w:val="ListNumber"/>
        <w:spacing w:line="240" w:lineRule="auto"/>
        <w:ind w:left="720"/>
      </w:pPr>
      <w:r/>
      <w:hyperlink r:id="rId10">
        <w:r>
          <w:rPr>
            <w:color w:val="0000EE"/>
            <w:u w:val="single"/>
          </w:rPr>
          <w:t>https://www.nytimes.com/2024/07/03/technology/ai-startups-funding.html</w:t>
        </w:r>
      </w:hyperlink>
      <w:r>
        <w:t xml:space="preserve"> - Mentions the significant funding rounds secured by AI-focused companies like CoreWeave and Scale AI, reflecting the financial structure of neocloud firms.</w:t>
      </w:r>
      <w:r/>
    </w:p>
    <w:p>
      <w:pPr>
        <w:pStyle w:val="ListNumber"/>
        <w:spacing w:line="240" w:lineRule="auto"/>
        <w:ind w:left="720"/>
      </w:pPr>
      <w:r/>
      <w:hyperlink r:id="rId11">
        <w:r>
          <w:rPr>
            <w:color w:val="0000EE"/>
            <w:u w:val="single"/>
          </w:rPr>
          <w:t>https://www.axios.com/2024/07/08/ai-stock-market</w:t>
        </w:r>
      </w:hyperlink>
      <w:r>
        <w:t xml:space="preserve"> - Highlights the role of venture capital in AI startups and the valuation increases, which is relevant to CoreWeave’s financial situation.</w:t>
      </w:r>
      <w:r/>
    </w:p>
    <w:p>
      <w:pPr>
        <w:pStyle w:val="ListNumber"/>
        <w:spacing w:line="240" w:lineRule="auto"/>
        <w:ind w:left="720"/>
      </w:pPr>
      <w:r/>
      <w:hyperlink r:id="rId12">
        <w:r>
          <w:rPr>
            <w:color w:val="0000EE"/>
            <w:u w:val="single"/>
          </w:rPr>
          <w:t>https://www.bloomberg.com/news/articles/2024-11-01/tech-giants-are-set-to-spend-200-billion-this-year-chasing-ai</w:t>
        </w:r>
      </w:hyperlink>
      <w:r>
        <w:t xml:space="preserve"> - Discusses the ongoing investments in AI by tech giants, which aligns with the financial backing of neocloud companies.</w:t>
      </w:r>
      <w:r/>
    </w:p>
    <w:p>
      <w:pPr>
        <w:pStyle w:val="ListNumber"/>
        <w:spacing w:line="240" w:lineRule="auto"/>
        <w:ind w:left="720"/>
      </w:pPr>
      <w:r/>
      <w:hyperlink r:id="rId13">
        <w:r>
          <w:rPr>
            <w:color w:val="0000EE"/>
            <w:u w:val="single"/>
          </w:rPr>
          <w:t>https://www.nea.com/blog/ai-infrastructure</w:t>
        </w:r>
      </w:hyperlink>
      <w:r>
        <w:t xml:space="preserve"> - Explains the market dynamics and the competitive landscape in AI infrastructure, including the role of Nvidia and other chip manufacturers.</w:t>
      </w:r>
      <w:r/>
    </w:p>
    <w:p>
      <w:pPr>
        <w:pStyle w:val="ListNumber"/>
        <w:spacing w:line="240" w:lineRule="auto"/>
        <w:ind w:left="720"/>
      </w:pPr>
      <w:r/>
      <w:hyperlink r:id="rId15">
        <w:r>
          <w:rPr>
            <w:color w:val="0000EE"/>
            <w:u w:val="single"/>
          </w:rPr>
          <w:t>https://www.ft.com/content/41bfacb8-4d1e-4f25-bc60-75bf557f1f21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7/03/technology/ai-startups-funding.html" TargetMode="External"/><Relationship Id="rId11" Type="http://schemas.openxmlformats.org/officeDocument/2006/relationships/hyperlink" Target="https://www.axios.com/2024/07/08/ai-stock-market" TargetMode="External"/><Relationship Id="rId12" Type="http://schemas.openxmlformats.org/officeDocument/2006/relationships/hyperlink" Target="https://www.bloomberg.com/news/articles/2024-11-01/tech-giants-are-set-to-spend-200-billion-this-year-chasing-ai" TargetMode="External"/><Relationship Id="rId13" Type="http://schemas.openxmlformats.org/officeDocument/2006/relationships/hyperlink" Target="https://www.nea.com/blog/ai-infrastructure" TargetMode="External"/><Relationship Id="rId14" Type="http://schemas.openxmlformats.org/officeDocument/2006/relationships/hyperlink" Target="https://www.pymnts.com/news/artificial-intelligence/2024/new-york-city-that-never-sleeps-dreams-being-silicon-valley/" TargetMode="External"/><Relationship Id="rId15" Type="http://schemas.openxmlformats.org/officeDocument/2006/relationships/hyperlink" Target="https://www.ft.com/content/41bfacb8-4d1e-4f25-bc60-75bf557f1f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