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 AI Act introduces strict regulations for medtech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EU AI Act: New Regulatory Framework for Medtech Industry</w:t>
      </w:r>
      <w:r/>
    </w:p>
    <w:p>
      <w:r/>
      <w:r>
        <w:t>The European Union's AI Act, which officially came into force on the 1st of August, 2024, has ushered in a new regulatory era for companies within the medtech industry. This legislation sets out to regulate artificial intelligence (AI) systems, particularly those classified as "high risk", with a focus on safeguarding health, safety, and fundamental rights.</w:t>
      </w:r>
      <w:r/>
    </w:p>
    <w:p>
      <w:r/>
      <w:r>
        <w:rPr>
          <w:b/>
        </w:rPr>
        <w:t>Medtech Industry Under Scrutiny</w:t>
      </w:r>
      <w:r/>
    </w:p>
    <w:p>
      <w:r/>
      <w:r>
        <w:t>Medical technology, including devices like diagnostic tools, surgical robotics, and personalised treatment plans, relies heavily on AI components. With the AI Act, these technologies are now subject to stringent regulations owing to their potential impact on healthcare outcomes. The act specifically targets sophisticated diagnostic systems and decision-support systems, which are integral to ensuring accuracy and reliability in healthcare settings.</w:t>
      </w:r>
      <w:r/>
    </w:p>
    <w:p>
      <w:r/>
      <w:r>
        <w:rPr>
          <w:b/>
        </w:rPr>
        <w:t>Classification and Compliance</w:t>
      </w:r>
      <w:r/>
    </w:p>
    <w:p>
      <w:r/>
      <w:r>
        <w:t>A significant facet of the new act is its high-risk classification for certain AI systems integrated into medical devices. This designation entails comprehensive requirements for ensuring safety, transparency, and risk management. AI systems anticipated to be classified as high risk must undergo rigorous evaluations before they can achieve the EU CE mark certification. This involves third-party conformity assessments to ensure adherence to the AI Act and related EU legislation such as the Medical Devices Regulation and the In Vitro Diagnostic Regulation.</w:t>
      </w:r>
      <w:r/>
    </w:p>
    <w:p>
      <w:r/>
      <w:r>
        <w:rPr>
          <w:b/>
        </w:rPr>
        <w:t>Impact on Developers and Deployers</w:t>
      </w:r>
      <w:r/>
    </w:p>
    <w:p>
      <w:r/>
      <w:r>
        <w:t>Crucially, the act not only pertains to developers and providers of AI systems but also includes those who deploy them, such as medical practitioners and healthcare facilities. These entities must manage and document AI system performance and monitor adverse effects vigilantly. The act mandates that clinical decisions made by AI are validated by human oversight, requiring healthcare professionals to intervene where necessary to ensure patient health needs align with AI-generated recommendations.</w:t>
      </w:r>
      <w:r/>
    </w:p>
    <w:p>
      <w:r/>
      <w:r>
        <w:rPr>
          <w:b/>
        </w:rPr>
        <w:t>Global Reach of the AI Act</w:t>
      </w:r>
      <w:r/>
    </w:p>
    <w:p>
      <w:r/>
      <w:r>
        <w:t>Interestingly, the legislation extends its reach beyond the geographical confines of the EU. Technologies developed or utilised by entities outside the EU fall under this regulation if they engage with the EU market or if their outputs are intended for it. This broad scope indicates the EU’s intention to impose regulatory standards on a global scale.</w:t>
      </w:r>
      <w:r/>
    </w:p>
    <w:p>
      <w:r/>
      <w:r>
        <w:rPr>
          <w:b/>
        </w:rPr>
        <w:t>Transparency and Risk Management</w:t>
      </w:r>
      <w:r/>
    </w:p>
    <w:p>
      <w:r/>
      <w:r>
        <w:t>High-risk AI systems in medtech must comply with transparency requirements, ensuring decision-making processes are documented and understandable to professionals and patients alike. Furthermore, medtech firms must implement robust risk management protocols to identify and mitigate risks associated with AI-driven healthcare services. Continuous monitoring post-deployment forms a crucial component of this strategy.</w:t>
      </w:r>
      <w:r/>
    </w:p>
    <w:p>
      <w:r/>
      <w:r>
        <w:rPr>
          <w:b/>
        </w:rPr>
        <w:t>Requirements for Human Oversight and Cybersecurity</w:t>
      </w:r>
      <w:r/>
    </w:p>
    <w:p>
      <w:r/>
      <w:r>
        <w:t>The act also stipulates that mechanisms for human oversight must exist, allowing healthcare providers to audit and, if necessary, amend AI-facilitated clinical decisions. Moreover, high-risk AI systems are obliged to maintain logs, achieve certain accuracy standards, and meet cybersecurity requirements.</w:t>
      </w:r>
      <w:r/>
    </w:p>
    <w:p>
      <w:r/>
      <w:r>
        <w:rPr>
          <w:b/>
        </w:rPr>
        <w:t>Implementation Timeline</w:t>
      </w:r>
      <w:r/>
    </w:p>
    <w:p>
      <w:r/>
      <w:r>
        <w:t>The EU AI Act comes with a phased implementation timeline. The majority of compliance obligations will take effect by the 2nd of August, 2026, allowing existing technologies a grace period unless significant design alterations occur. The EU intends to develop guidelines that will delineate the act’s requirements in line with EU fundamental rights, influencing governance standards across the industry.</w:t>
      </w:r>
      <w:r/>
    </w:p>
    <w:p>
      <w:r/>
      <w:r>
        <w:t>As these regulations unfold, medtech companies must continuously adapt to ensure compliance, reflecting an evolving landscape in both regulatory and technological terms within the EU. This legislative shift highlights the increased emphasis on AI accountability and safety, providing a structured approach to managing AI in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https://www.jdsupra.com/legalnews/how-the-eu-ai-act-could-affect-medtech-5067025/</w:t>
        </w:r>
      </w:hyperlink>
      <w:r>
        <w:t xml:space="preserve"> - Corroborates the EU AI Act's focus on regulating high-risk AI systems in the medtech industry, particularly those impacting health, safety, and fundamental rights.</w:t>
      </w:r>
      <w:r/>
    </w:p>
    <w:p>
      <w:pPr>
        <w:pStyle w:val="ListNumber"/>
        <w:spacing w:line="240" w:lineRule="auto"/>
        <w:ind w:left="720"/>
      </w:pPr>
      <w:r/>
      <w:hyperlink r:id="rId11">
        <w:r>
          <w:rPr>
            <w:color w:val="0000EE"/>
            <w:u w:val="single"/>
          </w:rPr>
          <w:t>https://www.nature.com/articles/s41746-024-01232-3</w:t>
        </w:r>
      </w:hyperlink>
      <w:r>
        <w:t xml:space="preserve"> - Supports the classification of AI systems in medical devices as high-risk and the stringent compliance requirements, including risk management and data governance.</w:t>
      </w:r>
      <w:r/>
    </w:p>
    <w:p>
      <w:pPr>
        <w:pStyle w:val="ListNumber"/>
        <w:spacing w:line="240" w:lineRule="auto"/>
        <w:ind w:left="720"/>
      </w:pPr>
      <w:r/>
      <w:hyperlink r:id="rId12">
        <w:r>
          <w:rPr>
            <w:color w:val="0000EE"/>
            <w:u w:val="single"/>
          </w:rPr>
          <w:t>https://www.medicept.com/eu-ai-act-and-its-impact-on-the-medical-device-industry/</w:t>
        </w:r>
      </w:hyperlink>
      <w:r>
        <w:t xml:space="preserve"> - Details the impact of the EU AI Act on the medical device industry, including the need for rigorous assessment processes and compliance with both the AI Act and existing EU regulations like MDR and IVDR.</w:t>
      </w:r>
      <w:r/>
    </w:p>
    <w:p>
      <w:pPr>
        <w:pStyle w:val="ListNumber"/>
        <w:spacing w:line="240" w:lineRule="auto"/>
        <w:ind w:left="720"/>
      </w:pPr>
      <w:r/>
      <w:hyperlink r:id="rId13">
        <w:r>
          <w:rPr>
            <w:color w:val="0000EE"/>
            <w:u w:val="single"/>
          </w:rPr>
          <w:t>https://www.engage.hoganlovells.com/knowledgeservices/news/implications-of-the-eu-ai-act-on-medtech-companies_1</w:t>
        </w:r>
      </w:hyperlink>
      <w:r>
        <w:t xml:space="preserve"> - Explains the extraterritorial reach of the AI Act, its application to non-EU entities, and the responsibilities of various economic operators in the AI supply chain.</w:t>
      </w:r>
      <w:r/>
    </w:p>
    <w:p>
      <w:pPr>
        <w:pStyle w:val="ListNumber"/>
        <w:spacing w:line="240" w:lineRule="auto"/>
        <w:ind w:left="720"/>
      </w:pPr>
      <w:r/>
      <w:hyperlink r:id="rId14">
        <w:r>
          <w:rPr>
            <w:color w:val="0000EE"/>
            <w:u w:val="single"/>
          </w:rPr>
          <w:t>https://www.nature.com/articles/s41746-024-01213-6</w:t>
        </w:r>
      </w:hyperlink>
      <w:r>
        <w:t xml:space="preserve"> - Provides information on the AI Act's prohibitions, exceptions for medical uses, and the timeline for implementation, including the phased compliance obligations.</w:t>
      </w:r>
      <w:r/>
    </w:p>
    <w:p>
      <w:pPr>
        <w:pStyle w:val="ListNumber"/>
        <w:spacing w:line="240" w:lineRule="auto"/>
        <w:ind w:left="720"/>
      </w:pPr>
      <w:r/>
      <w:hyperlink r:id="rId10">
        <w:r>
          <w:rPr>
            <w:color w:val="0000EE"/>
            <w:u w:val="single"/>
          </w:rPr>
          <w:t>https://www.jdsupra.com/legalnews/how-the-eu-ai-act-could-affect-medtech-5067025/</w:t>
        </w:r>
      </w:hyperlink>
      <w:r>
        <w:t xml:space="preserve"> - Corroborates the need for human oversight, documentation of clinical decisions, and intervention by healthcare professionals when necessary.</w:t>
      </w:r>
      <w:r/>
    </w:p>
    <w:p>
      <w:pPr>
        <w:pStyle w:val="ListNumber"/>
        <w:spacing w:line="240" w:lineRule="auto"/>
        <w:ind w:left="720"/>
      </w:pPr>
      <w:r/>
      <w:hyperlink r:id="rId12">
        <w:r>
          <w:rPr>
            <w:color w:val="0000EE"/>
            <w:u w:val="single"/>
          </w:rPr>
          <w:t>https://www.medicept.com/eu-ai-act-and-its-impact-on-the-medical-device-industry/</w:t>
        </w:r>
      </w:hyperlink>
      <w:r>
        <w:t xml:space="preserve"> - Supports the requirement for transparency, risk management, and continuous monitoring post-deployment for high-risk AI systems in medtech.</w:t>
      </w:r>
      <w:r/>
    </w:p>
    <w:p>
      <w:pPr>
        <w:pStyle w:val="ListNumber"/>
        <w:spacing w:line="240" w:lineRule="auto"/>
        <w:ind w:left="720"/>
      </w:pPr>
      <w:r/>
      <w:hyperlink r:id="rId13">
        <w:r>
          <w:rPr>
            <w:color w:val="0000EE"/>
            <w:u w:val="single"/>
          </w:rPr>
          <w:t>https://www.engage.hoganlovells.com/knowledgeservices/news/implications-of-the-eu-ai-act-on-medtech-companies_1</w:t>
        </w:r>
      </w:hyperlink>
      <w:r>
        <w:t xml:space="preserve"> - Details the need for mechanisms of human oversight, logging, accuracy standards, and cybersecurity requirements for high-risk AI systems.</w:t>
      </w:r>
      <w:r/>
    </w:p>
    <w:p>
      <w:pPr>
        <w:pStyle w:val="ListNumber"/>
        <w:spacing w:line="240" w:lineRule="auto"/>
        <w:ind w:left="720"/>
      </w:pPr>
      <w:r/>
      <w:hyperlink r:id="rId10">
        <w:r>
          <w:rPr>
            <w:color w:val="0000EE"/>
            <w:u w:val="single"/>
          </w:rPr>
          <w:t>https://www.jdsupra.com/legalnews/how-the-eu-ai-act-could-affect-medtech-5067025/</w:t>
        </w:r>
      </w:hyperlink>
      <w:r>
        <w:t xml:space="preserve"> - Explains the phased implementation timeline of the AI Act, including the grace period for existing technologies and the development of guidelines aligning with EU fundamental rights.</w:t>
      </w:r>
      <w:r/>
    </w:p>
    <w:p>
      <w:pPr>
        <w:pStyle w:val="ListNumber"/>
        <w:spacing w:line="240" w:lineRule="auto"/>
        <w:ind w:left="720"/>
      </w:pPr>
      <w:r/>
      <w:hyperlink r:id="rId11">
        <w:r>
          <w:rPr>
            <w:color w:val="0000EE"/>
            <w:u w:val="single"/>
          </w:rPr>
          <w:t>https://www.nature.com/articles/s41746-024-01232-3</w:t>
        </w:r>
      </w:hyperlink>
      <w:r>
        <w:t xml:space="preserve"> - Supports the integration of the AI Act with existing EU regulations like MDR and IVDR, and the impact on the development, authorization, and market introduction of AI-enabled medical devices.</w:t>
      </w:r>
      <w:r/>
    </w:p>
    <w:p>
      <w:pPr>
        <w:pStyle w:val="ListNumber"/>
        <w:spacing w:line="240" w:lineRule="auto"/>
        <w:ind w:left="720"/>
      </w:pPr>
      <w:r/>
      <w:hyperlink r:id="rId12">
        <w:r>
          <w:rPr>
            <w:color w:val="0000EE"/>
            <w:u w:val="single"/>
          </w:rPr>
          <w:t>https://www.medicept.com/eu-ai-act-and-its-impact-on-the-medical-device-industry/</w:t>
        </w:r>
      </w:hyperlink>
      <w:r>
        <w:t xml:space="preserve"> - Highlights the potential for the AI Act to foster innovation, reduce uncertainties, and enhance public trust in AI-driven medical devices, despite the challenges in compliance and costs.</w:t>
      </w:r>
      <w:r/>
    </w:p>
    <w:p>
      <w:pPr>
        <w:pStyle w:val="ListNumber"/>
        <w:spacing w:line="240" w:lineRule="auto"/>
        <w:ind w:left="720"/>
      </w:pPr>
      <w:r/>
      <w:hyperlink r:id="rId10">
        <w:r>
          <w:rPr>
            <w:color w:val="0000EE"/>
            <w:u w:val="single"/>
          </w:rPr>
          <w:t>https://www.jdsupra.com/legalnews/how-the-eu-ai-act-could-affect-medtech-5067025/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how-the-eu-ai-act-could-affect-medtech-5067025/" TargetMode="External"/><Relationship Id="rId11" Type="http://schemas.openxmlformats.org/officeDocument/2006/relationships/hyperlink" Target="https://www.nature.com/articles/s41746-024-01232-3" TargetMode="External"/><Relationship Id="rId12" Type="http://schemas.openxmlformats.org/officeDocument/2006/relationships/hyperlink" Target="https://www.medicept.com/eu-ai-act-and-its-impact-on-the-medical-device-industry/" TargetMode="External"/><Relationship Id="rId13" Type="http://schemas.openxmlformats.org/officeDocument/2006/relationships/hyperlink" Target="https://www.engage.hoganlovells.com/knowledgeservices/news/implications-of-the-eu-ai-act-on-medtech-companies_1" TargetMode="External"/><Relationship Id="rId14" Type="http://schemas.openxmlformats.org/officeDocument/2006/relationships/hyperlink" Target="https://www.nature.com/articles/s41746-024-0121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