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Singapore advances in asset tokenization and stablecoin adoption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Singapore Advances in Asset Tokenization and Stablecoin Adoption</w:t>
      </w:r>
      <w:r/>
    </w:p>
    <w:p>
      <w:r/>
      <w:r>
        <w:t>Singapore is at the forefront of financial innovation, with significant strides in asset tokenization and the introduction of a new stablecoin framework. The Monetary Authority of Singapore (MAS) is spearheading this movement with initiatives and collaborations aimed at enhancing the commercialisation and application of tokenized assets.</w:t>
      </w:r>
      <w:r/>
    </w:p>
    <w:p>
      <w:r/>
      <w:r>
        <w:rPr>
          <w:b/>
        </w:rPr>
        <w:t>Project Guardian: Deepening Liquidity in Tokenized Markets</w:t>
      </w:r>
      <w:r/>
    </w:p>
    <w:p>
      <w:r/>
      <w:r>
        <w:t>Central to Singapore's tokenization effort is Project Guardian, an ambitious initiative by MAS that brings together over 40 financial institutions, industry associations, and global policymakers. The project's objective is to build robust commercial networks and market infrastructures for tokenized assets. Key participants include prominent entities such as ANZ, Deutsche Bundesbank, and the World Bank. These partners are testing asset tokenization across six major currencies, including the US dollar and euro. More than 15 trials are underway, focusing on financial instruments such as funds and structured products.</w:t>
      </w:r>
      <w:r/>
    </w:p>
    <w:p>
      <w:r/>
      <w:r>
        <w:t>In these trials, MAS is looking to integrate capital, trading, and settlement of tokenized assets to enhance the efficiency of primary and secondary market offerings. Institutions like Citi and HSBC have formed the Guardian Wholesale Network to support these initiatives.</w:t>
      </w:r>
      <w:r/>
    </w:p>
    <w:p>
      <w:r/>
      <w:r>
        <w:rPr>
          <w:b/>
        </w:rPr>
        <w:t>Global Layer One: Building a Digital Backbone</w:t>
      </w:r>
      <w:r/>
    </w:p>
    <w:p>
      <w:r/>
      <w:r>
        <w:t>In 2023, MAS launched the Global Layer One (GL1), a foundational digital structure designed to support Singapore's ambitions in asset tokenization. This initiative aims to facilitate seamless cross-border transactions and serve as a commercial network backbone. Major financial players, including JPMorgan and BNY Mellon, are actively contributing to defining the business and technical requirements for the GL1 platform.</w:t>
      </w:r>
      <w:r/>
    </w:p>
    <w:p>
      <w:r/>
      <w:r>
        <w:t>GL1 is also developing interconnected market systems, ensuring governance and risk management best practices are in place. Coordination with the Bank for International Settlements is underway to integrate compliance measures within the framework.</w:t>
      </w:r>
      <w:r/>
    </w:p>
    <w:p>
      <w:r/>
      <w:r>
        <w:rPr>
          <w:b/>
        </w:rPr>
        <w:t>New Frameworks and Central Bank Digital Currency Initiatives</w:t>
      </w:r>
      <w:r/>
    </w:p>
    <w:p>
      <w:r/>
      <w:r>
        <w:t>To further encourage the use of tokenized assets, MAS has unveiled two industry frameworks: the Guardian Fixed Income Framework (GFIF) for tokenizing debt capital markets and the Guardian Funds Framework (GFF) for outlining best practices in tokenized funds. These frameworks mark significant progress in creating standardized procedures for tokenized assets.</w:t>
      </w:r>
      <w:r/>
    </w:p>
    <w:p>
      <w:r/>
      <w:r>
        <w:t>A significant development is the introduction of the S$ wholesale central bank digital currency (CBDC) called SGD Testnet. This initiative allows selected financial institutions to settle transactions in Singapore dollar CBDC, bolstering confidence in tokenized asset settlements.</w:t>
      </w:r>
      <w:r/>
    </w:p>
    <w:p>
      <w:r/>
      <w:r>
        <w:t>Mr. Leong Sing Chiong, MAS’s Deputy Managing Director, highlighted the strong interest in asset tokenization and expressed optimism about the collaboration between financial institutions and policymakers to establish industry standards and frameworks, with the goal of scaling tokenized capital markets across Singapore and beyond.</w:t>
      </w:r>
      <w:r/>
    </w:p>
    <w:p>
      <w:r/>
      <w:r>
        <w:rPr>
          <w:b/>
        </w:rPr>
        <w:t>Global Dollar Network: Paving the Way for Stablecoin Acceptance</w:t>
      </w:r>
      <w:r/>
    </w:p>
    <w:p>
      <w:r/>
      <w:r>
        <w:t>In parallel, the Global Dollar Network, an open initiative to promote global stablecoin adoption, was announced in Singapore. Key fintech leaders, including Anchorage Digital, Bullish, Galaxy Digital, Kraken, Nuvei, Paxos, and Robinhood, have launched this network to revolutionize stablecoin usage.</w:t>
      </w:r>
      <w:r/>
    </w:p>
    <w:p>
      <w:r/>
      <w:r>
        <w:t>At the heart of this network is the introduction of the stablecoin USDG, issued by Paxos in Singapore. This stablecoin aligns with the forthcoming MAS stablecoin framework, promising fast, seamless, cross-border transactions with rewards on select deposits. It will be available across multiple platforms, enhancing its reach and utility.</w:t>
      </w:r>
      <w:r/>
    </w:p>
    <w:p>
      <w:r/>
      <w:r>
        <w:t>Nathan McCauley, CEO of Anchorage Digital, underlined the efficiency in trading and settlement that stablecoins like USDG offer. Arjun Sethi of Kraken praised USDG for providing a fairer model in the regulated stablecoin market, potentially attracting mainstream participants.</w:t>
      </w:r>
      <w:r/>
    </w:p>
    <w:p>
      <w:r/>
      <w:r>
        <w:rPr>
          <w:b/>
        </w:rPr>
        <w:t>Strategic Partnerships and Financial System Replatforming</w:t>
      </w:r>
      <w:r/>
    </w:p>
    <w:p>
      <w:r/>
      <w:r>
        <w:t>Highlighting its financial integrity, DBS Bank, Southeast Asia’s largest bank, will oversee USDG reserves as the primary banking partner, underscoring the commitment to safe financial practices.</w:t>
      </w:r>
      <w:r/>
    </w:p>
    <w:p>
      <w:r/>
      <w:r>
        <w:t>The Global Dollar Network signifies a crucial development in reimagining the financial landscape, offering a safer, more efficient system for currency transactions. As the network grows, it sets new stablecoin standards and encourages broader adoption across various sectors.</w:t>
      </w:r>
      <w:r/>
    </w:p>
    <w:p>
      <w:r/>
      <w:r>
        <w:t>These initiatives mark a significant step for Singapore as a leader in digital finance, poised to create a more streamlined, interconnected global financial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https://cryptoslate.com/singapore-creates-networks-to-commercialize-digital-asset-tokenization-platform-after-successful-trials/</w:t>
        </w:r>
      </w:hyperlink>
      <w:r>
        <w:t xml:space="preserve"> - Corroborates the initiatives by MAS to enhance tokenization, including Project Guardian, commercial networks, and industry frameworks.</w:t>
      </w:r>
      <w:r/>
    </w:p>
    <w:p>
      <w:pPr>
        <w:pStyle w:val="ListNumber"/>
        <w:spacing w:line="240" w:lineRule="auto"/>
        <w:ind w:left="720"/>
      </w:pPr>
      <w:r/>
      <w:hyperlink r:id="rId10">
        <w:r>
          <w:rPr>
            <w:color w:val="0000EE"/>
            <w:u w:val="single"/>
          </w:rPr>
          <w:t>https://cryptoslate.com/singapore-creates-networks-to-commercialize-digital-asset-tokenization-platform-after-successful-trials/</w:t>
        </w:r>
      </w:hyperlink>
      <w:r>
        <w:t xml:space="preserve"> - Details the involvement of financial institutions like Citi, Standard Chartered, and HSBC in Project Guardian and the Guardian Wholesale Network.</w:t>
      </w:r>
      <w:r/>
    </w:p>
    <w:p>
      <w:pPr>
        <w:pStyle w:val="ListNumber"/>
        <w:spacing w:line="240" w:lineRule="auto"/>
        <w:ind w:left="720"/>
      </w:pPr>
      <w:r/>
      <w:hyperlink r:id="rId10">
        <w:r>
          <w:rPr>
            <w:color w:val="0000EE"/>
            <w:u w:val="single"/>
          </w:rPr>
          <w:t>https://cryptoslate.com/singapore-creates-networks-to-commercialize-digital-asset-tokenization-platform-after-successful-trials/</w:t>
        </w:r>
      </w:hyperlink>
      <w:r>
        <w:t xml:space="preserve"> - Explains the Global Layer One (GL1) initiative and its role in facilitating cross-border transactions and market infrastructure.</w:t>
      </w:r>
      <w:r/>
    </w:p>
    <w:p>
      <w:pPr>
        <w:pStyle w:val="ListNumber"/>
        <w:spacing w:line="240" w:lineRule="auto"/>
        <w:ind w:left="720"/>
      </w:pPr>
      <w:r/>
      <w:hyperlink r:id="rId10">
        <w:r>
          <w:rPr>
            <w:color w:val="0000EE"/>
            <w:u w:val="single"/>
          </w:rPr>
          <w:t>https://cryptoslate.com/singapore-creates-networks-to-commercialize-digital-asset-tokenization-platform-after-successful-trials/</w:t>
        </w:r>
      </w:hyperlink>
      <w:r>
        <w:t xml:space="preserve"> - Discusses the introduction of the Guardian Fixed Income Framework and the Guardian Funds Framework by MAS.</w:t>
      </w:r>
      <w:r/>
    </w:p>
    <w:p>
      <w:pPr>
        <w:pStyle w:val="ListNumber"/>
        <w:spacing w:line="240" w:lineRule="auto"/>
        <w:ind w:left="720"/>
      </w:pPr>
      <w:r/>
      <w:hyperlink r:id="rId10">
        <w:r>
          <w:rPr>
            <w:color w:val="0000EE"/>
            <w:u w:val="single"/>
          </w:rPr>
          <w:t>https://cryptoslate.com/singapore-creates-networks-to-commercialize-digital-asset-tokenization-platform-after-successful-trials/</w:t>
        </w:r>
      </w:hyperlink>
      <w:r>
        <w:t xml:space="preserve"> - Mentions the SGD Testnet and the use of Singapore dollar wholesale CBDC for settling transactions.</w:t>
      </w:r>
      <w:r/>
    </w:p>
    <w:p>
      <w:pPr>
        <w:pStyle w:val="ListNumber"/>
        <w:spacing w:line="240" w:lineRule="auto"/>
        <w:ind w:left="720"/>
      </w:pPr>
      <w:r/>
      <w:hyperlink r:id="rId11">
        <w:r>
          <w:rPr>
            <w:color w:val="0000EE"/>
            <w:u w:val="single"/>
          </w:rPr>
          <w:t>https://paxos.com/blog/introducing-global-dollar-network-an-open-network-to-accelerate-and-reward-global-stablecoin-adoption-driven-by-anchorage-digital-bullish-galaxy-digital-kraken-nuvei-paxos-and-robinhood/</w:t>
        </w:r>
      </w:hyperlink>
      <w:r>
        <w:t xml:space="preserve"> - Details the launch of the Global Dollar Network and the introduction of the USDG stablecoin by Paxos in Singapore.</w:t>
      </w:r>
      <w:r/>
    </w:p>
    <w:p>
      <w:pPr>
        <w:pStyle w:val="ListNumber"/>
        <w:spacing w:line="240" w:lineRule="auto"/>
        <w:ind w:left="720"/>
      </w:pPr>
      <w:r/>
      <w:hyperlink r:id="rId11">
        <w:r>
          <w:rPr>
            <w:color w:val="0000EE"/>
            <w:u w:val="single"/>
          </w:rPr>
          <w:t>https://paxos.com/blog/introducing-global-dollar-network-an-open-network-to-accelerate-and-reward-global-stablecoin-adoption-driven-by-anchorage-digital-bullish-galaxy-digital-kraken-nuvei-paxos-and-robinhood/</w:t>
        </w:r>
      </w:hyperlink>
      <w:r>
        <w:t xml:space="preserve"> - Explains the participation of fintech leaders like Anchorage Digital, Bullish, and Kraken in the Global Dollar Network.</w:t>
      </w:r>
      <w:r/>
    </w:p>
    <w:p>
      <w:pPr>
        <w:pStyle w:val="ListNumber"/>
        <w:spacing w:line="240" w:lineRule="auto"/>
        <w:ind w:left="720"/>
      </w:pPr>
      <w:r/>
      <w:hyperlink r:id="rId11">
        <w:r>
          <w:rPr>
            <w:color w:val="0000EE"/>
            <w:u w:val="single"/>
          </w:rPr>
          <w:t>https://paxos.com/blog/introducing-global-dollar-network-an-open-network-to-accelerate-and-reward-global-stablecoin-adoption-driven-by-anchorage-digital-bullish-galaxy-digital-kraken-nuvei-paxos-and-robinhood/</w:t>
        </w:r>
      </w:hyperlink>
      <w:r>
        <w:t xml:space="preserve"> - Highlights the alignment of USDG with the forthcoming MAS stablecoin framework and its benefits for cross-border transactions.</w:t>
      </w:r>
      <w:r/>
    </w:p>
    <w:p>
      <w:pPr>
        <w:pStyle w:val="ListNumber"/>
        <w:spacing w:line="240" w:lineRule="auto"/>
        <w:ind w:left="720"/>
      </w:pPr>
      <w:r/>
      <w:hyperlink r:id="rId12">
        <w:r>
          <w:rPr>
            <w:color w:val="0000EE"/>
            <w:u w:val="single"/>
          </w:rPr>
          <w:t>https://coinpaprika.com/news/singapore-boosts-tokenization-in-financial-sector/</w:t>
        </w:r>
      </w:hyperlink>
      <w:r>
        <w:t xml:space="preserve"> - Corroborates MAS's efforts to promote tokenization, particularly in fixed income, FX, and asset management, and the introduction of new frameworks.</w:t>
      </w:r>
      <w:r/>
    </w:p>
    <w:p>
      <w:pPr>
        <w:pStyle w:val="ListNumber"/>
        <w:spacing w:line="240" w:lineRule="auto"/>
        <w:ind w:left="720"/>
      </w:pPr>
      <w:r/>
      <w:hyperlink r:id="rId12">
        <w:r>
          <w:rPr>
            <w:color w:val="0000EE"/>
            <w:u w:val="single"/>
          </w:rPr>
          <w:t>https://coinpaprika.com/news/singapore-boosts-tokenization-in-financial-sector/</w:t>
        </w:r>
      </w:hyperlink>
      <w:r>
        <w:t xml:space="preserve"> - Details the role of Project Guardian in conducting trials and establishing guidelines for tokenized assets.</w:t>
      </w:r>
      <w:r/>
    </w:p>
    <w:p>
      <w:pPr>
        <w:pStyle w:val="ListNumber"/>
        <w:spacing w:line="240" w:lineRule="auto"/>
        <w:ind w:left="720"/>
      </w:pPr>
      <w:r/>
      <w:hyperlink r:id="rId13">
        <w:r>
          <w:rPr>
            <w:color w:val="0000EE"/>
            <w:u w:val="single"/>
          </w:rPr>
          <w:t>https://thecryptogateway.it/en/singapore-future-tokenization-two-new-plans-regulation/</w:t>
        </w:r>
      </w:hyperlink>
      <w:r>
        <w:t xml:space="preserve"> - Provides additional context on the regulatory measures and frameworks introduced by MAS to support tokenized assets.</w:t>
      </w:r>
      <w:r/>
    </w:p>
    <w:p>
      <w:pPr>
        <w:pStyle w:val="ListNumber"/>
        <w:spacing w:line="240" w:lineRule="auto"/>
        <w:ind w:left="720"/>
      </w:pPr>
      <w:r/>
      <w:hyperlink r:id="rId14">
        <w:r>
          <w:rPr>
            <w:color w:val="0000EE"/>
            <w:u w:val="single"/>
          </w:rPr>
          <w:t>https://www.livebitcoinnews.com/singapore-advances-commercialization-of-asset-tokenization/</w:t>
        </w:r>
      </w:hyperlink>
      <w:r>
        <w:t xml:space="preserve"> - Please view link - unable to able to access data</w:t>
      </w:r>
      <w:r/>
    </w:p>
    <w:p>
      <w:pPr>
        <w:pStyle w:val="ListNumber"/>
        <w:spacing w:line="240" w:lineRule="auto"/>
        <w:ind w:left="720"/>
      </w:pPr>
      <w:r/>
      <w:hyperlink r:id="rId15">
        <w:r>
          <w:rPr>
            <w:color w:val="0000EE"/>
            <w:u w:val="single"/>
          </w:rPr>
          <w:t>https://news.google.com/rss/articles/CBMikgFBVV95cUxPVGdYcF9HajZWNmhnRVpOSVNfU0ZqaDZtWjUyc1l3dTVuekFyMENMUy1kWnNTMzJQaHlBS3hoVFJ4X2VaUDZYNGpYUWxIUVVicG04SE5qdDJWMFhpcjU0WC12RzMtUjZvMXNuTTU0eTlzbXN4YzFNaExjSFNyY2VvZnEyXzlWVTk1NG1WMHZlVWlH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yptoslate.com/singapore-creates-networks-to-commercialize-digital-asset-tokenization-platform-after-successful-trials/" TargetMode="External"/><Relationship Id="rId11" Type="http://schemas.openxmlformats.org/officeDocument/2006/relationships/hyperlink" Target="https://paxos.com/blog/introducing-global-dollar-network-an-open-network-to-accelerate-and-reward-global-stablecoin-adoption-driven-by-anchorage-digital-bullish-galaxy-digital-kraken-nuvei-paxos-and-robinhood/" TargetMode="External"/><Relationship Id="rId12" Type="http://schemas.openxmlformats.org/officeDocument/2006/relationships/hyperlink" Target="https://coinpaprika.com/news/singapore-boosts-tokenization-in-financial-sector/" TargetMode="External"/><Relationship Id="rId13" Type="http://schemas.openxmlformats.org/officeDocument/2006/relationships/hyperlink" Target="https://thecryptogateway.it/en/singapore-future-tokenization-two-new-plans-regulation/" TargetMode="External"/><Relationship Id="rId14" Type="http://schemas.openxmlformats.org/officeDocument/2006/relationships/hyperlink" Target="https://www.livebitcoinnews.com/singapore-advances-commercialization-of-asset-tokenization/" TargetMode="External"/><Relationship Id="rId15" Type="http://schemas.openxmlformats.org/officeDocument/2006/relationships/hyperlink" Target="https://news.google.com/rss/articles/CBMikgFBVV95cUxPVGdYcF9HajZWNmhnRVpOSVNfU0ZqaDZtWjUyc1l3dTVuekFyMENMUy1kWnNTMzJQaHlBS3hoVFJ4X2VaUDZYNGpYUWxIUVVicG04SE5qdDJWMFhpcjU0WC12RzMtUjZvMXNuTTU0eTlzbXN4YzFNaExjSFNyY2VvZnEyXzlWVTk1NG1WMHZlVWlH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