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Expansive advertising network embraces personalised content to boost user engagement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digital advertising landscape, an expansive network of alliances is leveraging personalised content to refine user engagement across platforms. A total of 216 partners are collaborating in this initiative, carefully curating user profiles based on observed behaviours and preferences to present content and advertising tailored to individual interests.</w:t>
      </w:r>
      <w:r/>
    </w:p>
    <w:p>
      <w:r/>
      <w:r>
        <w:t>The process relies on sophisticated data analytics methods, wherein user activity, such as the forms they submit or content they peruse, is meticulously recorded. This information is then amalgamated with additional data like previous online behaviours or similarities with other users to enhance the accuracy of the user profiles. These profiles may potentially include inferred interests and personal aspects, which could influence the kind of advertising content the users are exposed to.</w:t>
      </w:r>
      <w:r/>
    </w:p>
    <w:p>
      <w:r/>
      <w:r>
        <w:t>In practical application, if a user demonstrates a keen interest in a particular category, such as bike accessories, by frequently engaging with related content, this behaviour is logged and contributes to a detailed profile of their interests. Such insights could later inform the presentation of targeted advertisements, possibly suggesting specific bike accessory brands. Similarly, engagement with premium vehicle configurators might lead the profiling system to deduce an interest in luxury items, thereby prompting suggestions for high-end cycling gear.</w:t>
      </w:r>
      <w:r/>
    </w:p>
    <w:p>
      <w:r/>
      <w:r>
        <w:t>A notable use case involves a high-end apparel company seeking to promote its line of baby clothes. Collaborating with an agency that has access to a network targeting high-income individuals, this company utilises user profiles to identify wealthy young parents or couples. The refined profiles guide the strategic placement of advertisements in compatible partner applications.</w:t>
      </w:r>
      <w:r/>
    </w:p>
    <w:p>
      <w:r/>
      <w:r>
        <w:t>The technological backbone facilitating these tailored experiences involves cookies and similar technologies. These are essential for storing user data which subsequently enables the personalised web experiences users increasingly expect. While these cookies do not typically contain direct identifiers, they record information such as the device, operating system, and browser type, which can be classified as personal data.</w:t>
      </w:r>
      <w:r/>
    </w:p>
    <w:p>
      <w:r/>
      <w:r>
        <w:t>Users retain agency over how their data is utilised. They are presented with options to review and tailor their consent preferences related to cookies and other data processes. This personalisation can be managed on an individual basis, with users able to opt out of certain data usages by selecting options such as "Reject All." Additionally, users have the flexibility to revise their preferences as needed.</w:t>
      </w:r>
      <w:r/>
    </w:p>
    <w:p>
      <w:r/>
      <w:r>
        <w:t>The handling of personal data by these vendors aligns with the IAB Transparency and Consent Framework (TCF), a standard providing guidelines for responsible and consensual data use in advertising. Despite the nuanced functionalities designed to improve advertising relevance, users can object to specific data processing based on legitimate interests.</w:t>
      </w:r>
      <w:r/>
    </w:p>
    <w:p>
      <w:r/>
      <w:r>
        <w:t>Vendors such as 6sense, Aarki, AcuityAds, and others listed among the 131 participating entities have partnered in this extensive initiative. Each plays a role in facilitating these enhanced user interactions, building on a framework designed to balance personalisation with privacy considerations.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https://www.cmoalliance.com/personalizations-power-in-modern-advertising/</w:t>
        </w:r>
      </w:hyperlink>
      <w:r>
        <w:t xml:space="preserve"> - Corroborates the use of sophisticated data analytics and AI to refine user profiles and present personalized content and advertising.</w:t>
      </w:r>
      <w:r/>
    </w:p>
    <w:p>
      <w:pPr>
        <w:pStyle w:val="ListNumber"/>
        <w:spacing w:line="240" w:lineRule="auto"/>
        <w:ind w:left="720"/>
      </w:pPr>
      <w:r/>
      <w:hyperlink r:id="rId11">
        <w:r>
          <w:rPr>
            <w:color w:val="0000EE"/>
            <w:u w:val="single"/>
          </w:rPr>
          <w:t>https://www.thecreativealliance.com/digital-marketing/the-power-of-personalization-customizing-the-digital-experience/</w:t>
        </w:r>
      </w:hyperlink>
      <w:r>
        <w:t xml:space="preserve"> - Supports the idea that personalized digital experiences are more effective in achieving marketing and sales goals, and highlights the importance of nuanced personalization.</w:t>
      </w:r>
      <w:r/>
    </w:p>
    <w:p>
      <w:pPr>
        <w:pStyle w:val="ListNumber"/>
        <w:spacing w:line="240" w:lineRule="auto"/>
        <w:ind w:left="720"/>
      </w:pPr>
      <w:r/>
      <w:hyperlink r:id="rId11">
        <w:r>
          <w:rPr>
            <w:color w:val="0000EE"/>
            <w:u w:val="single"/>
          </w:rPr>
          <w:t>https://www.thecreativealliance.com/digital-marketing/the-power-of-personalization-customizing-the-digital-experience/</w:t>
        </w:r>
      </w:hyperlink>
      <w:r>
        <w:t xml:space="preserve"> - Provides examples of how companies use user data and preferences to tailor messages and offers, aligning with the concept of creating detailed user profiles.</w:t>
      </w:r>
      <w:r/>
    </w:p>
    <w:p>
      <w:pPr>
        <w:pStyle w:val="ListNumber"/>
        <w:spacing w:line="240" w:lineRule="auto"/>
        <w:ind w:left="720"/>
      </w:pPr>
      <w:r/>
      <w:hyperlink r:id="rId12">
        <w:r>
          <w:rPr>
            <w:color w:val="0000EE"/>
            <w:u w:val="single"/>
          </w:rPr>
          <w:t>https://www.revenuemarketingalliance.com/the-importance-of-personalization-in-digital-marketing/</w:t>
        </w:r>
      </w:hyperlink>
      <w:r>
        <w:t xml:space="preserve"> - Explains how user activity and preferences are used to create personalized content and offers, enhancing user engagement and conversion.</w:t>
      </w:r>
      <w:r/>
    </w:p>
    <w:p>
      <w:pPr>
        <w:pStyle w:val="ListNumber"/>
        <w:spacing w:line="240" w:lineRule="auto"/>
        <w:ind w:left="720"/>
      </w:pPr>
      <w:r/>
      <w:hyperlink r:id="rId12">
        <w:r>
          <w:rPr>
            <w:color w:val="0000EE"/>
            <w:u w:val="single"/>
          </w:rPr>
          <w:t>https://www.revenuemarketingalliance.com/the-importance-of-personalization-in-digital-marketing/</w:t>
        </w:r>
      </w:hyperlink>
      <w:r>
        <w:t xml:space="preserve"> - Details the use of dynamic content and behavioral targeting to personalize user experiences across various channels.</w:t>
      </w:r>
      <w:r/>
    </w:p>
    <w:p>
      <w:pPr>
        <w:pStyle w:val="ListNumber"/>
        <w:spacing w:line="240" w:lineRule="auto"/>
        <w:ind w:left="720"/>
      </w:pPr>
      <w:r/>
      <w:hyperlink r:id="rId10">
        <w:r>
          <w:rPr>
            <w:color w:val="0000EE"/>
            <w:u w:val="single"/>
          </w:rPr>
          <w:t>https://www.cmoalliance.com/personalizations-power-in-modern-advertising/</w:t>
        </w:r>
      </w:hyperlink>
      <w:r>
        <w:t xml:space="preserve"> - Illustrates practical applications of personalized advertising, such as targeting users based on their interests and behaviors.</w:t>
      </w:r>
      <w:r/>
    </w:p>
    <w:p>
      <w:pPr>
        <w:pStyle w:val="ListNumber"/>
        <w:spacing w:line="240" w:lineRule="auto"/>
        <w:ind w:left="720"/>
      </w:pPr>
      <w:r/>
      <w:hyperlink r:id="rId11">
        <w:r>
          <w:rPr>
            <w:color w:val="0000EE"/>
            <w:u w:val="single"/>
          </w:rPr>
          <w:t>https://www.thecreativealliance.com/digital-marketing/the-power-of-personalization-customizing-the-digital-experience/</w:t>
        </w:r>
      </w:hyperlink>
      <w:r>
        <w:t xml:space="preserve"> - Emphasizes the importance of personalization across all touchpoints to ensure a seamless and effective user experience.</w:t>
      </w:r>
      <w:r/>
    </w:p>
    <w:p>
      <w:pPr>
        <w:pStyle w:val="ListNumber"/>
        <w:spacing w:line="240" w:lineRule="auto"/>
        <w:ind w:left="720"/>
      </w:pPr>
      <w:r/>
      <w:hyperlink r:id="rId11">
        <w:r>
          <w:rPr>
            <w:color w:val="0000EE"/>
            <w:u w:val="single"/>
          </w:rPr>
          <w:t>https://www.thecreativealliance.com/digital-marketing/the-power-of-personalization-customizing-the-digital-experience/</w:t>
        </w:r>
      </w:hyperlink>
      <w:r>
        <w:t xml:space="preserve"> - Highlights the role of feedback in ensuring that personalization efforts are effective and aligned with user needs.</w:t>
      </w:r>
      <w:r/>
    </w:p>
    <w:p>
      <w:pPr>
        <w:pStyle w:val="ListNumber"/>
        <w:spacing w:line="240" w:lineRule="auto"/>
        <w:ind w:left="720"/>
      </w:pPr>
      <w:r/>
      <w:hyperlink r:id="rId13">
        <w:r>
          <w:rPr>
            <w:color w:val="0000EE"/>
            <w:u w:val="single"/>
          </w:rPr>
          <w:t>https://www.ana.net/content/show/id/pr-2012-your-adchoices</w:t>
        </w:r>
      </w:hyperlink>
      <w:r>
        <w:t xml:space="preserve"> - Discusses the Digital Advertising Alliance's initiatives and the use of cookies and similar technologies for storing user data, which is crucial for personalized web experiences.</w:t>
      </w:r>
      <w:r/>
    </w:p>
    <w:p>
      <w:pPr>
        <w:pStyle w:val="ListNumber"/>
        <w:spacing w:line="240" w:lineRule="auto"/>
        <w:ind w:left="720"/>
      </w:pPr>
      <w:r/>
      <w:hyperlink r:id="rId14">
        <w:r>
          <w:rPr>
            <w:color w:val="0000EE"/>
            <w:u w:val="single"/>
          </w:rPr>
          <w:t>https://www.reddit.com/r/privacy/comments/11w6xv5/the_digital_advertising_alliance_a_privacy_ally/</w:t>
        </w:r>
      </w:hyperlink>
      <w:r>
        <w:t xml:space="preserve"> - Explains how users can manage their consent preferences related to cookies and other data processes, aligning with the concept of user agency over data usage.</w:t>
      </w:r>
      <w:r/>
    </w:p>
    <w:p>
      <w:pPr>
        <w:pStyle w:val="ListNumber"/>
        <w:spacing w:line="240" w:lineRule="auto"/>
        <w:ind w:left="720"/>
      </w:pPr>
      <w:r/>
      <w:hyperlink r:id="rId13">
        <w:r>
          <w:rPr>
            <w:color w:val="0000EE"/>
            <w:u w:val="single"/>
          </w:rPr>
          <w:t>https://www.ana.net/content/show/id/pr-2012-your-adchoices</w:t>
        </w:r>
      </w:hyperlink>
      <w:r>
        <w:t xml:space="preserve"> - Details the IAB Transparency and Consent Framework (TCF) and its role in guiding responsible and consensual data use in advertising.</w:t>
      </w:r>
      <w:r/>
    </w:p>
    <w:p>
      <w:pPr>
        <w:pStyle w:val="ListNumber"/>
        <w:spacing w:line="240" w:lineRule="auto"/>
        <w:ind w:left="720"/>
      </w:pPr>
      <w:r/>
      <w:hyperlink r:id="rId15">
        <w:r>
          <w:rPr>
            <w:color w:val="0000EE"/>
            <w:u w:val="single"/>
          </w:rPr>
          <w:t>https://news.google.com/rss/articles/CBMihAJBVV95cUxQZXJuSW5QajBMR1VIamw5TlFsMzV0QVlEd3czbThzZ3VJbjd3RGY4YU5kRFhLYUd4bmFUN1B0U2d0ek1KXzFJS0p0RWxPbnJUZG81bXkzZHhlOXBEb3BoYWVseXNVLUhVQ1UtSnpqb0FIVFJJVzBpdXNRcDFnRWNia2wxd2V4SHkzUnlhQVNaRzhQNTlNNi10RHVWbXk2MGlVT0M0ZFl0UTEzeW85QkFQYW0yTkNjM0M5dG95QVRtQnR2S0tybld4TmF0WVQtY0lQT3BreVNFcmU3NVJ1YlpEZ1o2aC1TT2MwaDNTYnNld01CdzBseTNCZWpuQUZZYzhHalV3Vg?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wwFBVV95cUxQejhRbkZWU3VSOEhMd3VkeXpNcGlVYmc2QXo2c2FuT3ZUQzZOZ2I4UmQ5bk56WDRZWVNzZGF6Ny1WTzQ1OHVoeThkdS00Q1JSdHZORi1wbnlkajRQRVlCM1BkZXJtRHlQWllacThDd2N1OEZRTzJHa2sxSWZnbVBGSVZNVE95Sm1QTHV4OGJ5Z01NOXE5dW9KMUFqZXlzRkJvWnlxc1ZPazI3U0VRUS1RQlBGRi1CXzg0X1UzY2RBaW9VeTg?oc=5&amp;hl=en-US&amp;gl=US&amp;ceid=US:en</w:t>
        </w:r>
      </w:hyperlink>
      <w:r>
        <w:t xml:space="preserve"> - Please view link - unable to able to access data</w:t>
      </w:r>
      <w:r/>
    </w:p>
    <w:p>
      <w:pPr>
        <w:pStyle w:val="ListNumber"/>
        <w:spacing w:line="240" w:lineRule="auto"/>
        <w:ind w:left="720"/>
      </w:pPr>
      <w:r/>
      <w:hyperlink r:id="rId17">
        <w:r>
          <w:rPr>
            <w:color w:val="0000EE"/>
            <w:u w:val="single"/>
          </w:rPr>
          <w:t>https://news.google.com/rss/articles/CBMiqwFBVV95cUxQYnk1cVJkQlFyakxVUlA3ZDlnLXFiM1Voc0VQWEwtQ3lCcHZtb2twRW9DMjAtSWtuNk5Rd3FfWmpyMmhiT3hCSGhTa1RDNFc1ekFoTWhMYWFBMFNoLW90Y25KZFpNRklpSjlUa3FoMF9OQlJhYlpLOTRBUThFYzhiQWY2Wm1adDNLbGZSLTJpb0lWdmpvaXJQQWx5Q3RhU1hFbHpnaFR3MnhwbWM?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moalliance.com/personalizations-power-in-modern-advertising/" TargetMode="External"/><Relationship Id="rId11" Type="http://schemas.openxmlformats.org/officeDocument/2006/relationships/hyperlink" Target="https://www.thecreativealliance.com/digital-marketing/the-power-of-personalization-customizing-the-digital-experience/" TargetMode="External"/><Relationship Id="rId12" Type="http://schemas.openxmlformats.org/officeDocument/2006/relationships/hyperlink" Target="https://www.revenuemarketingalliance.com/the-importance-of-personalization-in-digital-marketing/" TargetMode="External"/><Relationship Id="rId13" Type="http://schemas.openxmlformats.org/officeDocument/2006/relationships/hyperlink" Target="https://www.ana.net/content/show/id/pr-2012-your-adchoices" TargetMode="External"/><Relationship Id="rId14" Type="http://schemas.openxmlformats.org/officeDocument/2006/relationships/hyperlink" Target="https://www.reddit.com/r/privacy/comments/11w6xv5/the_digital_advertising_alliance_a_privacy_ally/" TargetMode="External"/><Relationship Id="rId15" Type="http://schemas.openxmlformats.org/officeDocument/2006/relationships/hyperlink" Target="https://news.google.com/rss/articles/CBMihAJBVV95cUxQZXJuSW5QajBMR1VIamw5TlFsMzV0QVlEd3czbThzZ3VJbjd3RGY4YU5kRFhLYUd4bmFUN1B0U2d0ek1KXzFJS0p0RWxPbnJUZG81bXkzZHhlOXBEb3BoYWVseXNVLUhVQ1UtSnpqb0FIVFJJVzBpdXNRcDFnRWNia2wxd2V4SHkzUnlhQVNaRzhQNTlNNi10RHVWbXk2MGlVT0M0ZFl0UTEzeW85QkFQYW0yTkNjM0M5dG95QVRtQnR2S0tybld4TmF0WVQtY0lQT3BreVNFcmU3NVJ1YlpEZ1o2aC1TT2MwaDNTYnNld01CdzBseTNCZWpuQUZZYzhHalV3Vg?oc=5&amp;hl=en-US&amp;gl=US&amp;ceid=US:en" TargetMode="External"/><Relationship Id="rId16" Type="http://schemas.openxmlformats.org/officeDocument/2006/relationships/hyperlink" Target="https://news.google.com/rss/articles/CBMiwwFBVV95cUxQejhRbkZWU3VSOEhMd3VkeXpNcGlVYmc2QXo2c2FuT3ZUQzZOZ2I4UmQ5bk56WDRZWVNzZGF6Ny1WTzQ1OHVoeThkdS00Q1JSdHZORi1wbnlkajRQRVlCM1BkZXJtRHlQWllacThDd2N1OEZRTzJHa2sxSWZnbVBGSVZNVE95Sm1QTHV4OGJ5Z01NOXE5dW9KMUFqZXlzRkJvWnlxc1ZPazI3U0VRUS1RQlBGRi1CXzg0X1UzY2RBaW9VeTg?oc=5&amp;hl=en-US&amp;gl=US&amp;ceid=US:en" TargetMode="External"/><Relationship Id="rId17" Type="http://schemas.openxmlformats.org/officeDocument/2006/relationships/hyperlink" Target="https://news.google.com/rss/articles/CBMiqwFBVV95cUxQYnk1cVJkQlFyakxVUlA3ZDlnLXFiM1Voc0VQWEwtQ3lCcHZtb2twRW9DMjAtSWtuNk5Rd3FfWmpyMmhiT3hCSGhTa1RDNFc1ekFoTWhMYWFBMFNoLW90Y25KZFpNRklpSjlUa3FoMF9OQlJhYlpLOTRBUThFYzhiQWY2Wm1adDNLbGZSLTJpb0lWdmpvaXJQQWx5Q3RhU1hFbHpnaFR3MnhwbWM?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