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Researchers advance particle movement modelling with machine learning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from Nanjing University of Science and Technology and Westlake University have made significant advances in accurately modelling the movement of irregularly shaped particles through fluids, a complex challenge in fluid dynamics vital for industries including chemical engineering and aerospace. Their study, which integrates machine learning with advanced numerical methods, has been published in the International Journal of Mechanical System Dynamics.</w:t>
      </w:r>
      <w:r/>
    </w:p>
    <w:p>
      <w:r/>
      <w:r>
        <w:t>The research addresses the longstanding difficulty of predicting the drag coefficient of non-spherical particles. Traditionally, precise prediction has been limited to spherical particles, leaving a gap in understanding how irregularly shaped particles behave in fluid environments. This complexity arises because single shape factors have proven insufficient in capturing the nuanced influences on particle movement.</w:t>
      </w:r>
      <w:r/>
    </w:p>
    <w:p>
      <w:r/>
      <w:r>
        <w:t>By employing the discrete element method (DEM) combined with the lattice Boltzmann method (LBM), the research team built a high-accuracy dataset. This dataset served as the foundation for developing four machine learning models meant to predict the drag coefficient of polygonal particles. Of these, the genetic algorithm-artificial neural network (GA-ANN) model excelled, achieving a prediction error of less than 5%. Such precision marks a pivotal development in fluid dynamics research.</w:t>
      </w:r>
      <w:r/>
    </w:p>
    <w:p>
      <w:r/>
      <w:r>
        <w:t>Professor Cheng Cheng, one of the study's lead researchers, underscored the significance of these findings, commenting on the transformative potential of machine learning in solving intricate fluid dynamics challenges. "By leveraging numerical simulations and artificial intelligence (AI)," he stated, "we've reached an unprecedented level of accuracy in predicting the drag coefficients of polygonal particles. This could have far-reaching impacts in both academic and industrial settings."</w:t>
      </w:r>
      <w:r/>
    </w:p>
    <w:p>
      <w:r/>
      <w:r>
        <w:t>The implications of this research are expansive, offering benefits to sectors like chemical processing, environmental engineering, and aerospace technology. The enhanced accuracy in predicting drag coefficients can lead to improved processes such as sedimentation, filtration, and propulsion, ultimately increasing the efficiency of various systems. This breakthrough is poised to influence future designs and optimisations of fluid-particle interactions across numerous industrial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https://onlinelibrary.wiley.com/doi/10.1002/msd2.12124</w:t>
        </w:r>
      </w:hyperlink>
      <w:r>
        <w:t xml:space="preserve"> - This link supports the information about the research on drag coefficient of particles using machine learning and numerical methods, specifically mentioning the use of the discrete element method (DEM) and the lattice Boltzmann method (LBM).</w:t>
      </w:r>
      <w:r/>
    </w:p>
    <w:p>
      <w:pPr>
        <w:pStyle w:val="ListNumber"/>
        <w:spacing w:line="240" w:lineRule="auto"/>
        <w:ind w:left="720"/>
      </w:pPr>
      <w:r/>
      <w:hyperlink r:id="rId10">
        <w:r>
          <w:rPr>
            <w:color w:val="0000EE"/>
            <w:u w:val="single"/>
          </w:rPr>
          <w:t>https://onlinelibrary.wiley.com/doi/10.1002/msd2.12124</w:t>
        </w:r>
      </w:hyperlink>
      <w:r>
        <w:t xml:space="preserve"> - This link corroborates the development of machine learning models, including the genetic algorithm-artificial neural network (GA-ANN) model, to predict the drag coefficient of polygonal particles.</w:t>
      </w:r>
      <w:r/>
    </w:p>
    <w:p>
      <w:pPr>
        <w:pStyle w:val="ListNumber"/>
        <w:spacing w:line="240" w:lineRule="auto"/>
        <w:ind w:left="720"/>
      </w:pPr>
      <w:r/>
      <w:hyperlink r:id="rId9">
        <w:r>
          <w:rPr>
            <w:color w:val="0000EE"/>
            <w:u w:val="single"/>
          </w:rPr>
          <w:t>https://www.noahwire.com</w:t>
        </w:r>
      </w:hyperlink>
      <w:r>
        <w:t xml:space="preserve"> - Although not directly accessible, this is the source mentioned in the query that discusses the overall research and its implications in fluid dynamics.</w:t>
      </w:r>
      <w:r/>
    </w:p>
    <w:p>
      <w:pPr>
        <w:pStyle w:val="ListNumber"/>
        <w:spacing w:line="240" w:lineRule="auto"/>
        <w:ind w:left="720"/>
      </w:pPr>
      <w:r/>
      <w:hyperlink r:id="rId11">
        <w:r>
          <w:rPr>
            <w:color w:val="0000EE"/>
            <w:u w:val="single"/>
          </w:rPr>
          <w:t>https://upyun.hw.85do.com/2024ses/Full%20Program_0710.pdf</w:t>
        </w:r>
      </w:hyperlink>
      <w:r>
        <w:t xml:space="preserve"> - This link provides context on fluid dynamics research and the involvement of various universities, including Westlake University, in advanced fluid mechanics studies.</w:t>
      </w:r>
      <w:r/>
    </w:p>
    <w:p>
      <w:pPr>
        <w:pStyle w:val="ListNumber"/>
        <w:spacing w:line="240" w:lineRule="auto"/>
        <w:ind w:left="720"/>
      </w:pPr>
      <w:r/>
      <w:hyperlink r:id="rId11">
        <w:r>
          <w:rPr>
            <w:color w:val="0000EE"/>
            <w:u w:val="single"/>
          </w:rPr>
          <w:t>https://upyun.hw.85do.com/2024ses/Full%20Program_0710.pdf</w:t>
        </w:r>
      </w:hyperlink>
      <w:r>
        <w:t xml:space="preserve"> - It supports the broader context of fluid dynamics research and the participation of researchers from different institutions in related studies.</w:t>
      </w:r>
      <w:r/>
    </w:p>
    <w:p>
      <w:pPr>
        <w:pStyle w:val="ListNumber"/>
        <w:spacing w:line="240" w:lineRule="auto"/>
        <w:ind w:left="720"/>
      </w:pPr>
      <w:r/>
      <w:hyperlink r:id="rId12">
        <w:r>
          <w:rPr>
            <w:color w:val="0000EE"/>
            <w:u w:val="single"/>
          </w:rPr>
          <w:t>https://web.cas.org/marketing/white-papers/INSGENENGWHP101954-Biomaterials-Westlake-Full-Report-Digital-2.pdf</w:t>
        </w:r>
      </w:hyperlink>
      <w:r>
        <w:t xml:space="preserve"> - This link highlights the collaborative research efforts between Westlake University and other institutions, emphasizing advanced scientific research and interdisciplinary collaboration.</w:t>
      </w:r>
      <w:r/>
    </w:p>
    <w:p>
      <w:pPr>
        <w:pStyle w:val="ListNumber"/>
        <w:spacing w:line="240" w:lineRule="auto"/>
        <w:ind w:left="720"/>
      </w:pPr>
      <w:r/>
      <w:hyperlink r:id="rId12">
        <w:r>
          <w:rPr>
            <w:color w:val="0000EE"/>
            <w:u w:val="single"/>
          </w:rPr>
          <w:t>https://web.cas.org/marketing/white-papers/INSGENENGWHP101954-Biomaterials-Westlake-Full-Report-Digital-2.pdf</w:t>
        </w:r>
      </w:hyperlink>
      <w:r>
        <w:t xml:space="preserve"> - It supports the involvement of Westlake University in cutting-edge scientific research, which aligns with the context of the study on fluid dynamics.</w:t>
      </w:r>
      <w:r/>
    </w:p>
    <w:p>
      <w:pPr>
        <w:pStyle w:val="ListNumber"/>
        <w:spacing w:line="240" w:lineRule="auto"/>
        <w:ind w:left="720"/>
      </w:pPr>
      <w:r/>
      <w:hyperlink r:id="rId9">
        <w:r>
          <w:rPr>
            <w:color w:val="0000EE"/>
            <w:u w:val="single"/>
          </w:rPr>
          <w:t>https://www.noahwire.com</w:t>
        </w:r>
      </w:hyperlink>
      <w:r>
        <w:t xml:space="preserve"> - This source is mentioned as the origin of the information about the research and its transformative potential in fluid dynamics.</w:t>
      </w:r>
      <w:r/>
    </w:p>
    <w:p>
      <w:pPr>
        <w:pStyle w:val="ListNumber"/>
        <w:spacing w:line="240" w:lineRule="auto"/>
        <w:ind w:left="720"/>
      </w:pPr>
      <w:r/>
      <w:hyperlink r:id="rId10">
        <w:r>
          <w:rPr>
            <w:color w:val="0000EE"/>
            <w:u w:val="single"/>
          </w:rPr>
          <w:t>https://onlinelibrary.wiley.com/doi/10.1002/msd2.12124</w:t>
        </w:r>
      </w:hyperlink>
      <w:r>
        <w:t xml:space="preserve"> - This link provides detailed information on the numerical methods and machine learning models used to predict the drag coefficient, which is crucial for understanding the research's methodology.</w:t>
      </w:r>
      <w:r/>
    </w:p>
    <w:p>
      <w:pPr>
        <w:pStyle w:val="ListNumber"/>
        <w:spacing w:line="240" w:lineRule="auto"/>
        <w:ind w:left="720"/>
      </w:pPr>
      <w:r/>
      <w:hyperlink r:id="rId11">
        <w:r>
          <w:rPr>
            <w:color w:val="0000EE"/>
            <w:u w:val="single"/>
          </w:rPr>
          <w:t>https://upyun.hw.85do.com/2024ses/Full%20Program_0710.pdf</w:t>
        </w:r>
      </w:hyperlink>
      <w:r>
        <w:t xml:space="preserve"> - It supports the broader context of fluid mechanics and the complexity of particle movement in fluid environments, which is relevant to the study's focus.</w:t>
      </w:r>
      <w:r/>
    </w:p>
    <w:p>
      <w:pPr>
        <w:pStyle w:val="ListNumber"/>
        <w:spacing w:line="240" w:lineRule="auto"/>
        <w:ind w:left="720"/>
      </w:pPr>
      <w:r/>
      <w:hyperlink r:id="rId12">
        <w:r>
          <w:rPr>
            <w:color w:val="0000EE"/>
            <w:u w:val="single"/>
          </w:rPr>
          <w:t>https://web.cas.org/marketing/white-papers/INSGENENGWHP101954-Biomaterials-Westlake-Full-Report-Digital-2.pdf</w:t>
        </w:r>
      </w:hyperlink>
      <w:r>
        <w:t xml:space="preserve"> - This link underscores the significance of interdisciplinary collaboration and advanced research, which are key aspects of the study on fluid dynamics and particle movement.</w:t>
      </w:r>
      <w:r/>
    </w:p>
    <w:p>
      <w:pPr>
        <w:pStyle w:val="ListNumber"/>
        <w:spacing w:line="240" w:lineRule="auto"/>
        <w:ind w:left="720"/>
      </w:pPr>
      <w:r/>
      <w:hyperlink r:id="rId13">
        <w:r>
          <w:rPr>
            <w:color w:val="0000EE"/>
            <w:u w:val="single"/>
          </w:rPr>
          <w:t>https://phys.org/news/2024-11-future-ai-tackle-complex-particle.html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nlinelibrary.wiley.com/doi/10.1002/msd2.12124" TargetMode="External"/><Relationship Id="rId11" Type="http://schemas.openxmlformats.org/officeDocument/2006/relationships/hyperlink" Target="https://upyun.hw.85do.com/2024ses/Full%20Program_0710.pdf" TargetMode="External"/><Relationship Id="rId12" Type="http://schemas.openxmlformats.org/officeDocument/2006/relationships/hyperlink" Target="https://web.cas.org/marketing/white-papers/INSGENENGWHP101954-Biomaterials-Westlake-Full-Report-Digital-2.pdf" TargetMode="External"/><Relationship Id="rId13" Type="http://schemas.openxmlformats.org/officeDocument/2006/relationships/hyperlink" Target="https://phys.org/news/2024-11-future-ai-tackle-complex-particl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