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Education sector set for transformation with AI tools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education sector is poised for a transformative shift by 2025, as several AI-powered tools are anticipated to become integral components of modern learning environments. These tools, specifically designed to adapt to individual learning needs, promise to enhance educational experiences by providing adaptive learning and personalised feedback. The rise of these technologies marks a significant step in the evolution of education, offering sophisticated solutions to meet diverse student requirements and improve academic outcomes.</w:t>
      </w:r>
      <w:r/>
    </w:p>
    <w:p>
      <w:r/>
      <w:r>
        <w:t>Among the leading AI tools is Century Tech, which specialises in creating adaptive learning experiences. This tool dynamically adjusts to each student's learning progress, offering personalised pathways aimed at boosting engagement and information retention. The adaptive nature of Century Tech facilitates a more tailored educational journey that resonates with students' unique learning curves.</w:t>
      </w:r>
      <w:r/>
    </w:p>
    <w:p>
      <w:r/>
      <w:r>
        <w:t>Knewton Alta is another significant player in this burgeoning field, offering a platform for targeted practice particularly suited for visually intensive subjects such as mathematics and science. It excels in providing real-time feedback loops that help identify and address learning gaps, enabling students to focus on areas requiring more attention and practice.</w:t>
      </w:r>
      <w:r/>
    </w:p>
    <w:p>
      <w:r/>
      <w:r>
        <w:t>Also making waves in the AI education landscape is Querium, an AI-driven tool specifically geared towards STEM (Science, Technology, Engineering, and Mathematics) tutoring. Querium provides personalised tutoring designed to make complex concepts more accessible and understandable for students, thereby demystifying difficult topics and fostering a clearer understanding of challenging subjects.</w:t>
      </w:r>
      <w:r/>
    </w:p>
    <w:p>
      <w:r/>
      <w:r>
        <w:t>Another innovative tool, Smart Sparrow, enhances the educational toolkit by supporting personalised instruction. It allows educators to craft customised lessons tailored to individual learning levels. This flexibility ensures that all students, regardless of their starting points, receive educational content that meets them exactly where they are, facilitating more effective learning.</w:t>
      </w:r>
      <w:r/>
    </w:p>
    <w:p>
      <w:r/>
      <w:r>
        <w:t>The integration of these AI technologies into the education market is perceived as beneficial for both teachers and students. By collaborating with advanced technologies, educators can become more effective partners in the academic success of their students. The sophisticated capabilities of AI-based educational tools hold the promise of creating a learning environment that is not only robust but also adaptable to the specific needs of each student, thus enabling a more personalised and effective educational experience.</w:t>
      </w:r>
      <w:r/>
    </w:p>
    <w:p>
      <w:r/>
      <w:r>
        <w:t>As the deployment of these tools gains momentum, educators and institutions will need to navigate the integration process to fully harness the potential benefits they offer. While the future landscape of education is still unfolding, the imminent introduction of these AI-powered solutions signifies a shift towards more dynamic and personalised learning experiences that promise to redefine educational paradigms by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https://www.eklavvya.com/blog/ai-edtech-tools/</w:t>
        </w:r>
      </w:hyperlink>
      <w:r>
        <w:t xml:space="preserve"> - This link corroborates the information about various AI-powered educational tools, including Smart Sparrow, Querium, and others that provide personalized learning experiences and real-time feedback.</w:t>
      </w:r>
      <w:r/>
    </w:p>
    <w:p>
      <w:pPr>
        <w:pStyle w:val="ListNumber"/>
        <w:spacing w:line="240" w:lineRule="auto"/>
        <w:ind w:left="720"/>
      </w:pPr>
      <w:r/>
      <w:hyperlink r:id="rId10">
        <w:r>
          <w:rPr>
            <w:color w:val="0000EE"/>
            <w:u w:val="single"/>
          </w:rPr>
          <w:t>https://www.eklavvya.com/blog/ai-edtech-tools/</w:t>
        </w:r>
      </w:hyperlink>
      <w:r>
        <w:t xml:space="preserve"> - This link supports the claim about Querium, an AI-driven tool for STEM tutoring, and its ability to make complex concepts more accessible.</w:t>
      </w:r>
      <w:r/>
    </w:p>
    <w:p>
      <w:pPr>
        <w:pStyle w:val="ListNumber"/>
        <w:spacing w:line="240" w:lineRule="auto"/>
        <w:ind w:left="720"/>
      </w:pPr>
      <w:r/>
      <w:hyperlink r:id="rId10">
        <w:r>
          <w:rPr>
            <w:color w:val="0000EE"/>
            <w:u w:val="single"/>
          </w:rPr>
          <w:t>https://www.eklavvya.com/blog/ai-edtech-tools/</w:t>
        </w:r>
      </w:hyperlink>
      <w:r>
        <w:t xml:space="preserve"> - This link explains how Smart Sparrow enhances educational content by allowing educators to craft customized lessons tailored to individual learning levels.</w:t>
      </w:r>
      <w:r/>
    </w:p>
    <w:p>
      <w:pPr>
        <w:pStyle w:val="ListNumber"/>
        <w:spacing w:line="240" w:lineRule="auto"/>
        <w:ind w:left="720"/>
      </w:pPr>
      <w:r/>
      <w:hyperlink r:id="rId11">
        <w:r>
          <w:rPr>
            <w:color w:val="0000EE"/>
            <w:u w:val="single"/>
          </w:rPr>
          <w:t>https://www.aacp.org/event/2025-artificial-intelligence-ai-pharmacy-education-institute</w:t>
        </w:r>
      </w:hyperlink>
      <w:r>
        <w:t xml:space="preserve"> - This link highlights the integration of AI in education, specifically in pharmacy education, and the benefits of personalized learning and educational tools.</w:t>
      </w:r>
      <w:r/>
    </w:p>
    <w:p>
      <w:pPr>
        <w:pStyle w:val="ListNumber"/>
        <w:spacing w:line="240" w:lineRule="auto"/>
        <w:ind w:left="720"/>
      </w:pPr>
      <w:r/>
      <w:hyperlink r:id="rId12">
        <w:r>
          <w:rPr>
            <w:color w:val="0000EE"/>
            <w:u w:val="single"/>
          </w:rPr>
          <w:t>https://tools-competition.org/25-overview/</w:t>
        </w:r>
      </w:hyperlink>
      <w:r>
        <w:t xml:space="preserve"> - This link discusses the 2025 Tools Competition, which focuses on developing innovative AI solutions to improve teaching and learning from K-12 to higher education.</w:t>
      </w:r>
      <w:r/>
    </w:p>
    <w:p>
      <w:pPr>
        <w:pStyle w:val="ListNumber"/>
        <w:spacing w:line="240" w:lineRule="auto"/>
        <w:ind w:left="720"/>
      </w:pPr>
      <w:r/>
      <w:hyperlink r:id="rId13">
        <w:r>
          <w:rPr>
            <w:color w:val="0000EE"/>
            <w:u w:val="single"/>
          </w:rPr>
          <w:t>https://www.magicschool.ai</w:t>
        </w:r>
      </w:hyperlink>
      <w:r>
        <w:t xml:space="preserve"> - This link introduces MagicSchool, which offers over 70 AI tools to help educators with tasks such as lesson planning, differentiation, and communication, supporting the idea of AI integration in education.</w:t>
      </w:r>
      <w:r/>
    </w:p>
    <w:p>
      <w:pPr>
        <w:pStyle w:val="ListNumber"/>
        <w:spacing w:line="240" w:lineRule="auto"/>
        <w:ind w:left="720"/>
      </w:pPr>
      <w:r/>
      <w:hyperlink r:id="rId10">
        <w:r>
          <w:rPr>
            <w:color w:val="0000EE"/>
            <w:u w:val="single"/>
          </w:rPr>
          <w:t>https://www.eklavvya.com/blog/ai-edtech-tools/</w:t>
        </w:r>
      </w:hyperlink>
      <w:r>
        <w:t xml:space="preserve"> - This link provides details on various AI tools like DreamBox, Coursera, and others that use AI to personalize learning experiences and provide real-time feedback.</w:t>
      </w:r>
      <w:r/>
    </w:p>
    <w:p>
      <w:pPr>
        <w:pStyle w:val="ListNumber"/>
        <w:spacing w:line="240" w:lineRule="auto"/>
        <w:ind w:left="720"/>
      </w:pPr>
      <w:r/>
      <w:hyperlink r:id="rId12">
        <w:r>
          <w:rPr>
            <w:color w:val="0000EE"/>
            <w:u w:val="single"/>
          </w:rPr>
          <w:t>https://tools-competition.org/25-overview/</w:t>
        </w:r>
      </w:hyperlink>
      <w:r>
        <w:t xml:space="preserve"> - This link explains the importance of AI in education, including the development of robust education-focused datasets to support research and innovation.</w:t>
      </w:r>
      <w:r/>
    </w:p>
    <w:p>
      <w:pPr>
        <w:pStyle w:val="ListNumber"/>
        <w:spacing w:line="240" w:lineRule="auto"/>
        <w:ind w:left="720"/>
      </w:pPr>
      <w:r/>
      <w:hyperlink r:id="rId10">
        <w:r>
          <w:rPr>
            <w:color w:val="0000EE"/>
            <w:u w:val="single"/>
          </w:rPr>
          <w:t>https://www.eklavvya.com/blog/ai-edtech-tools/</w:t>
        </w:r>
      </w:hyperlink>
      <w:r>
        <w:t xml:space="preserve"> - This link supports the claim about the adaptive nature of AI tools like Squirrel AI and Thinkster Math, which provide personalized learning paths and real-time feedback.</w:t>
      </w:r>
      <w:r/>
    </w:p>
    <w:p>
      <w:pPr>
        <w:pStyle w:val="ListNumber"/>
        <w:spacing w:line="240" w:lineRule="auto"/>
        <w:ind w:left="720"/>
      </w:pPr>
      <w:r/>
      <w:hyperlink r:id="rId11">
        <w:r>
          <w:rPr>
            <w:color w:val="0000EE"/>
            <w:u w:val="single"/>
          </w:rPr>
          <w:t>https://www.aacp.org/event/2025-artificial-intelligence-ai-pharmacy-education-institute</w:t>
        </w:r>
      </w:hyperlink>
      <w:r>
        <w:t xml:space="preserve"> - This link highlights the need for educators and institutions to navigate the integration of AI technologies to fully harness their potential benefits in education.</w:t>
      </w:r>
      <w:r/>
    </w:p>
    <w:p>
      <w:pPr>
        <w:pStyle w:val="ListNumber"/>
        <w:spacing w:line="240" w:lineRule="auto"/>
        <w:ind w:left="720"/>
      </w:pPr>
      <w:r/>
      <w:hyperlink r:id="rId12">
        <w:r>
          <w:rPr>
            <w:color w:val="0000EE"/>
            <w:u w:val="single"/>
          </w:rPr>
          <w:t>https://tools-competition.org/25-overview/</w:t>
        </w:r>
      </w:hyperlink>
      <w:r>
        <w:t xml:space="preserve"> - This link discusses the future landscape of education and the shift towards more dynamic and personalized learning experiences enabled by AI-powered solutions.</w:t>
      </w:r>
      <w:r/>
    </w:p>
    <w:p>
      <w:pPr>
        <w:pStyle w:val="ListNumber"/>
        <w:spacing w:line="240" w:lineRule="auto"/>
        <w:ind w:left="720"/>
      </w:pPr>
      <w:r/>
      <w:hyperlink r:id="rId14">
        <w:r>
          <w:rPr>
            <w:color w:val="0000EE"/>
            <w:u w:val="single"/>
          </w:rPr>
          <w:t>https://www.analyticsinsight.net/artificial-intelligence/ai-in-education-market-prediction-for-2025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klavvya.com/blog/ai-edtech-tools/" TargetMode="External"/><Relationship Id="rId11" Type="http://schemas.openxmlformats.org/officeDocument/2006/relationships/hyperlink" Target="https://www.aacp.org/event/2025-artificial-intelligence-ai-pharmacy-education-institute" TargetMode="External"/><Relationship Id="rId12" Type="http://schemas.openxmlformats.org/officeDocument/2006/relationships/hyperlink" Target="https://tools-competition.org/25-overview/" TargetMode="External"/><Relationship Id="rId13" Type="http://schemas.openxmlformats.org/officeDocument/2006/relationships/hyperlink" Target="https://www.magicschool.ai" TargetMode="External"/><Relationship Id="rId14" Type="http://schemas.openxmlformats.org/officeDocument/2006/relationships/hyperlink" Target="https://www.analyticsinsight.net/artificial-intelligence/ai-in-education-market-prediction-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