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strategies for media revenue generation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media landscape, many organisations are seeking innovative strategies to enhance revenue generation. Beyond merely increasing sales, significant gains can be made by reducing costs and optimising workflows, which can lead to sustainable growth for media and publishing companies.</w:t>
      </w:r>
      <w:r/>
    </w:p>
    <w:p>
      <w:r/>
      <w:r>
        <w:t>Improving Content Operations</w:t>
      </w:r>
      <w:r/>
    </w:p>
    <w:p>
      <w:r/>
      <w:r>
        <w:t>The first step in improving content production lies in optimising content operations. This involves refining procedures related to the creation, management, and distribution of content. Enhancing these processes requires employing the right tools and practices to ensure productivity and efficiency. Implementing a robust, centralised Content Management System (CMS) plays a critical role in this optimisation, as it facilitates seamless access and management of content across an organisation, reducing duplication and ensuring consistency.</w:t>
      </w:r>
      <w:r/>
    </w:p>
    <w:p>
      <w:r/>
      <w:r>
        <w:t>Integration of AI</w:t>
      </w:r>
      <w:r/>
    </w:p>
    <w:p>
      <w:r/>
      <w:r>
        <w:t>The integration of artificial intelligence (AI) tools, such as ChatGPT, is revolutionising content generation. These platforms can significantly reduce production time and costs, offering a variety of content types swiftly. However, the heavy reliance on AI-generated content could be problematic, especially if it lacks human input and personalisation, which might leave it prone to online penalties. To mitigate these risks, companies can adopt AI governance solutions to ensure they leverage AI effectively without compromising content quality.</w:t>
      </w:r>
      <w:r/>
    </w:p>
    <w:p>
      <w:r/>
      <w:r>
        <w:t>Streamlined Workflows and Collaboration</w:t>
      </w:r>
      <w:r/>
    </w:p>
    <w:p>
      <w:r/>
      <w:r>
        <w:t>Establishing clear processes and utilising collaboration tools are also essential. Streamlined workflows allow for efficient editing, reviewing, approval, and publishing stages, helping teams to meet deadlines and reduce bottlenecks. Collaboration tools further enhance this by offering a seamless communication environment, facilitating task delegation, real-time feedback, and optimised resource use among teams involved in the creative process.</w:t>
      </w:r>
      <w:r/>
    </w:p>
    <w:p>
      <w:r/>
      <w:r>
        <w:t>Multichannel and Channel-Neutral Content</w:t>
      </w:r>
      <w:r/>
    </w:p>
    <w:p>
      <w:r/>
      <w:r>
        <w:t>To maximise audience reach, organisations are encouraged to adopt a multichannel approach, distributing content across various platforms and formats. Creating channel-neutral content means it can be adapted easily across multiple platforms without extra work, saving time and resources.</w:t>
      </w:r>
      <w:r/>
    </w:p>
    <w:p>
      <w:r/>
      <w:r>
        <w:t>Automation and Personalisation</w:t>
      </w:r>
      <w:r/>
    </w:p>
    <w:p>
      <w:r/>
      <w:r>
        <w:t>Automating routine tasks, such as content scheduling and social media posting, can significantly reduce the operational workload. By integrating the CMS into a broader tech stack, companies can automate various processes and minimise manual tasks. Personalisation, facilitated by analysing user data with AI, allows content providers to offer tailored recommendations, enhancing engagement, retention, and ultimately boosting revenue.</w:t>
      </w:r>
      <w:r/>
    </w:p>
    <w:p>
      <w:r/>
      <w:r>
        <w:t>Digital Asset Management</w:t>
      </w:r>
      <w:r/>
    </w:p>
    <w:p>
      <w:r/>
      <w:r>
        <w:t>Effectively managing digital assets, such as images, videos, and documents, is crucial for streamlining operations. A robust Digital Asset Management (DAM) system centralises the storage, retrieval and distribution of these assets, making them easier to manage across platforms. Integration between DAM systems and CMS further optimises the content production cycle, enabling features like automated meta-tagging and advanced rights management.</w:t>
      </w:r>
      <w:r/>
    </w:p>
    <w:p>
      <w:r/>
      <w:r>
        <w:t>Repurposing Existing Content</w:t>
      </w:r>
      <w:r/>
    </w:p>
    <w:p>
      <w:r/>
      <w:r>
        <w:t>Repurposing existing content into various formats—transforming a blog into a video or podcast, for example—maximises content value and extends reach across different audience segments without incurring significant additional costs.</w:t>
      </w:r>
      <w:r/>
    </w:p>
    <w:p>
      <w:r/>
      <w:r>
        <w:t>Metadata and Meta-tagging Implementation</w:t>
      </w:r>
      <w:r/>
    </w:p>
    <w:p>
      <w:r/>
      <w:r>
        <w:t>Proper use of metadata and meta-tagging not only organises digital assets efficiently but also aids in their retrieval, boosting workflow efficiency and reducing time spent on searches.</w:t>
      </w:r>
      <w:r/>
    </w:p>
    <w:p>
      <w:r/>
      <w:r>
        <w:t>In summary, by employing these strategies, media companies can not only lower operational costs but also enhance their efficiency. Adapting to new technologies and innovative processes is essential for staying competitive in the media industry. Balancing the use of AI while retaining the human element in content production will be vital to achieving desired outcomes without compromising quality.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link supports the integration of AI in content generation and the use of advanced technology to streamline content operations, as it describes how Noah Wire Services uses AI-driven solutions to process and deliver news content.</w:t>
      </w:r>
      <w:r/>
    </w:p>
    <w:p>
      <w:pPr>
        <w:pStyle w:val="ListNumber"/>
        <w:spacing w:line="240" w:lineRule="auto"/>
        <w:ind w:left="720"/>
      </w:pPr>
      <w:r/>
      <w:hyperlink r:id="rId10">
        <w:r>
          <w:rPr>
            <w:color w:val="0000EE"/>
            <w:u w:val="single"/>
          </w:rPr>
          <w:t>https://noahwire.com</w:t>
        </w:r>
      </w:hyperlink>
      <w:r>
        <w:t xml:space="preserve"> - This link corroborates the importance of streamlined workflows and collaboration, as it highlights how Noah Wire Services' technology facilitates efficient content management and distribution.</w:t>
      </w:r>
      <w:r/>
    </w:p>
    <w:p>
      <w:pPr>
        <w:pStyle w:val="ListNumber"/>
        <w:spacing w:line="240" w:lineRule="auto"/>
        <w:ind w:left="720"/>
      </w:pPr>
      <w:r/>
      <w:hyperlink r:id="rId10">
        <w:r>
          <w:rPr>
            <w:color w:val="0000EE"/>
            <w:u w:val="single"/>
          </w:rPr>
          <w:t>https://noahwire.com</w:t>
        </w:r>
      </w:hyperlink>
      <w:r>
        <w:t xml:space="preserve"> - This link explains the multichannel approach and channel-neutral content, showing how Noah Wire Services delivers content across various platforms and formats.</w:t>
      </w:r>
      <w:r/>
    </w:p>
    <w:p>
      <w:pPr>
        <w:pStyle w:val="ListNumber"/>
        <w:spacing w:line="240" w:lineRule="auto"/>
        <w:ind w:left="720"/>
      </w:pPr>
      <w:r/>
      <w:hyperlink r:id="rId10">
        <w:r>
          <w:rPr>
            <w:color w:val="0000EE"/>
            <w:u w:val="single"/>
          </w:rPr>
          <w:t>https://noahwire.com</w:t>
        </w:r>
      </w:hyperlink>
      <w:r>
        <w:t xml:space="preserve"> - This link supports the automation and personalisation of content, as it describes how Noah Wire Services automates tasks and provides tailored content recommendations.</w:t>
      </w:r>
      <w:r/>
    </w:p>
    <w:p>
      <w:pPr>
        <w:pStyle w:val="ListNumber"/>
        <w:spacing w:line="240" w:lineRule="auto"/>
        <w:ind w:left="720"/>
      </w:pPr>
      <w:r/>
      <w:hyperlink r:id="rId11">
        <w:r>
          <w:rPr>
            <w:color w:val="0000EE"/>
            <w:u w:val="single"/>
          </w:rPr>
          <w:t>https://noahwire.com/terms/</w:t>
        </w:r>
      </w:hyperlink>
      <w:r>
        <w:t xml:space="preserve"> - This link provides details on the management and distribution of content, including the use of client data and the importance of compliance with laws and regulations, which is relevant to digital asset management and metadata implementation.</w:t>
      </w:r>
      <w:r/>
    </w:p>
    <w:p>
      <w:pPr>
        <w:pStyle w:val="ListNumber"/>
        <w:spacing w:line="240" w:lineRule="auto"/>
        <w:ind w:left="720"/>
      </w:pPr>
      <w:r/>
      <w:hyperlink r:id="rId11">
        <w:r>
          <w:rPr>
            <w:color w:val="0000EE"/>
            <w:u w:val="single"/>
          </w:rPr>
          <w:t>https://noahwire.com/terms/</w:t>
        </w:r>
      </w:hyperlink>
      <w:r>
        <w:t xml:space="preserve"> - This link explains the responsibility and ownership of content, which is crucial for repurposing existing content and ensuring its legal and ethical use.</w:t>
      </w:r>
      <w:r/>
    </w:p>
    <w:p>
      <w:pPr>
        <w:pStyle w:val="ListNumber"/>
        <w:spacing w:line="240" w:lineRule="auto"/>
        <w:ind w:left="720"/>
      </w:pPr>
      <w:r/>
      <w:hyperlink r:id="rId11">
        <w:r>
          <w:rPr>
            <w:color w:val="0000EE"/>
            <w:u w:val="single"/>
          </w:rPr>
          <w:t>https://noahwire.com/terms/</w:t>
        </w:r>
      </w:hyperlink>
      <w:r>
        <w:t xml:space="preserve"> - This link discusses the use of metadata and meta-tagging in the context of client data and content management, highlighting the importance of proper organisation and retrieval of digital assets.</w:t>
      </w:r>
      <w:r/>
    </w:p>
    <w:p>
      <w:pPr>
        <w:pStyle w:val="ListNumber"/>
        <w:spacing w:line="240" w:lineRule="auto"/>
        <w:ind w:left="720"/>
      </w:pPr>
      <w:r/>
      <w:hyperlink r:id="rId12">
        <w:r>
          <w:rPr>
            <w:color w:val="0000EE"/>
            <w:u w:val="single"/>
          </w:rPr>
          <w:t>https://www.technologyformarketing.co.uk/speakers/ivan-massow</w:t>
        </w:r>
      </w:hyperlink>
      <w:r>
        <w:t xml:space="preserve"> - This link supports the integration of AI and innovative technologies in content generation, as it describes Ivan Massow's work with AI-driven publishing solutions at Noah Wire Services.</w:t>
      </w:r>
      <w:r/>
    </w:p>
    <w:p>
      <w:pPr>
        <w:pStyle w:val="ListNumber"/>
        <w:spacing w:line="240" w:lineRule="auto"/>
        <w:ind w:left="720"/>
      </w:pPr>
      <w:r/>
      <w:hyperlink r:id="rId13">
        <w:r>
          <w:rPr>
            <w:color w:val="0000EE"/>
            <w:u w:val="single"/>
          </w:rPr>
          <w:t>https://uk.linkedin.com/in/massow</w:t>
        </w:r>
      </w:hyperlink>
      <w:r>
        <w:t xml:space="preserve"> - This link corroborates the use of AI governance and the importance of balancing AI with human input, as it outlines Ivan Massow's approach to leveraging AI effectively in content production.</w:t>
      </w:r>
      <w:r/>
    </w:p>
    <w:p>
      <w:pPr>
        <w:pStyle w:val="ListNumber"/>
        <w:spacing w:line="240" w:lineRule="auto"/>
        <w:ind w:left="720"/>
      </w:pPr>
      <w:r/>
      <w:hyperlink r:id="rId11">
        <w:r>
          <w:rPr>
            <w:color w:val="0000EE"/>
            <w:u w:val="single"/>
          </w:rPr>
          <w:t>https://noahwire.com/terms/</w:t>
        </w:r>
      </w:hyperlink>
      <w:r>
        <w:t xml:space="preserve"> - This link explains the legal and operational aspects of content management, including the terms and conditions that govern the use of Noah Wire Services, which is relevant to ensuring compliance and efficiency in content operations.</w:t>
      </w:r>
      <w:r/>
    </w:p>
    <w:p>
      <w:pPr>
        <w:pStyle w:val="ListNumber"/>
        <w:spacing w:line="240" w:lineRule="auto"/>
        <w:ind w:left="720"/>
      </w:pPr>
      <w:r/>
      <w:hyperlink r:id="rId10">
        <w:r>
          <w:rPr>
            <w:color w:val="0000EE"/>
            <w:u w:val="single"/>
          </w:rPr>
          <w:t>https://noahwire.com</w:t>
        </w:r>
      </w:hyperlink>
      <w:r>
        <w:t xml:space="preserve"> - This link summarizes the overall strategy of using advanced technologies and innovative processes to enhance content operations, reduce costs, and increase efficiency, aligning with the summary of the article.</w:t>
      </w:r>
      <w:r/>
    </w:p>
    <w:p>
      <w:pPr>
        <w:pStyle w:val="ListNumber"/>
        <w:spacing w:line="240" w:lineRule="auto"/>
        <w:ind w:left="720"/>
      </w:pPr>
      <w:r/>
      <w:hyperlink r:id="rId14">
        <w:r>
          <w:rPr>
            <w:color w:val="0000EE"/>
            <w:u w:val="single"/>
          </w:rPr>
          <w:t>https://www.independent.co.uk/news/business/business-reporter/revenue-growth-publishers-media-ai-content-strategy-b2641276.html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noahwire.com/terms/" TargetMode="External"/><Relationship Id="rId12" Type="http://schemas.openxmlformats.org/officeDocument/2006/relationships/hyperlink" Target="https://www.technologyformarketing.co.uk/speakers/ivan-massow" TargetMode="External"/><Relationship Id="rId13" Type="http://schemas.openxmlformats.org/officeDocument/2006/relationships/hyperlink" Target="https://uk.linkedin.com/in/massow" TargetMode="External"/><Relationship Id="rId14" Type="http://schemas.openxmlformats.org/officeDocument/2006/relationships/hyperlink" Target="https://www.independent.co.uk/news/business/business-reporter/revenue-growth-publishers-media-ai-content-strategy-b2641276.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