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Chicago's Booth School tops global list for impactful business research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Chicago's Booth School Tops Global List for Impactful Business Research</w:t>
      </w:r>
      <w:r/>
    </w:p>
    <w:p>
      <w:r/>
      <w:r>
        <w:t>In a fresh evaluation by the Financial Times, the University of Chicago's Booth School of Business has emerged as the leading institution worldwide for producing business research that significantly impacts management practices. The study reinforces the reputation of U.S. business schools as prime centres for generating scholarly work that extends its influence beyond academic confines.</w:t>
      </w:r>
      <w:r/>
    </w:p>
    <w:p>
      <w:r/>
      <w:r>
        <w:t>Trailing Booth in the rankings are prestigious names such as Stanford, Columbia, MIT, and Harvard, asserting American institutions' dominance in creating research of enduring resonance and societal relevance. Among top-ranked schools outside the United States, Insead, spanning France and Singapore, and the London Business School hold commendable positions, closely following other esteemed entities like Northwestern, Wharton, Haas, and New York University.</w:t>
      </w:r>
      <w:r/>
    </w:p>
    <w:p>
      <w:r/>
      <w:r>
        <w:t>The Financial Times introduced a novel evaluation framework that moves beyond the traditional academic success metrics, which commonly focus on publications in leading journals. This assessment involves various additional criteria that underscore the growing demand from academia and external stakeholders for universities to foster research with broader societal implications.</w:t>
      </w:r>
      <w:r/>
    </w:p>
    <w:p>
      <w:r/>
      <w:r>
        <w:t>Madhav Rajan, the dean of Booth School, expressed his excitement over the accolade, stating, "I'm really thrilled. A lot of universities just look at the number of publications. That’s crazy: it’s a system you can game. We actually read the papers. We want impact, to know it’s work we want to support."</w:t>
      </w:r>
      <w:r/>
    </w:p>
    <w:p>
      <w:r/>
      <w:r>
        <w:t>The ranking exercise has gained attention amidst the development of open data initiatives and new analytical metrics in collaboration with organisations like OpenAlex, Open Syllabus, Overton, and Scite, among others. The study also considers how these academic outcomes resonate beyond traditional academic realms, including policy frameworks and corporate strategies, a call increasingly echoed by stakeholders such as the UK’s research evaluation framework.</w:t>
      </w:r>
      <w:r/>
    </w:p>
    <w:p>
      <w:r/>
      <w:r>
        <w:t>Andrew Hoffman, a professor at Michigan's Ross School of Business, opined on the academic divide, stating, "We ask questions that are theoretically driven and of little to no interest to business people, using a language most business people don’t understand and publishing in journals they don’t read. Academic publishing for the ivory tower will remain the focus for a long time."</w:t>
      </w:r>
      <w:r/>
    </w:p>
    <w:p>
      <w:r/>
      <w:r>
        <w:rPr>
          <w:b/>
        </w:rPr>
        <w:t>Textbooks: A Valuable Channel for Management Insights</w:t>
      </w:r>
      <w:r/>
    </w:p>
    <w:p>
      <w:r/>
      <w:r>
        <w:t>On another front, traditional textbooks’ value in disseminating management insights is highlighted. According to Emma Bell, professor of organisation and leadership at the Open University, textbooks have an underestimated power in communicating complex academic ideas to a broader audience, often remaining accessible to managers and students alike.</w:t>
      </w:r>
      <w:r/>
    </w:p>
    <w:p>
      <w:r/>
      <w:r>
        <w:t>This perspective is shared by academics such as Yves Pigneur from the University of Lausanne, who, with co-author Alexander Osterwalder, chose to bring their ideas to life through books for a broader impact on practitioners worldwide.</w:t>
      </w:r>
      <w:r/>
    </w:p>
    <w:p>
      <w:r/>
      <w:r>
        <w:t>The Open Syllabus project has corroborated this notion by analysing over 21 million publicly available syllabuses, indicating a significant use of textbooks by faculties across 7,500 universities globally. Highlighted in this analysis is Philip Kotler's influential work, known as a cornerstone in marketing education, which supports Northwestern University's Kellogg School of Management's status as a top provider of teaching resources.</w:t>
      </w:r>
      <w:r/>
    </w:p>
    <w:p>
      <w:r/>
      <w:r>
        <w:rPr>
          <w:b/>
        </w:rPr>
        <w:t>The Role of Technology in Responsible Research Evaluation</w:t>
      </w:r>
      <w:r/>
    </w:p>
    <w:p>
      <w:r/>
      <w:r>
        <w:t>Calls for enhancing business schools’ focus on "responsible research" have found new avenues through technological advancements. Institutions are exploring ways to leverage large language models and artificial intelligence in assessing the alignment of academic outputs with societal goals like the UN Sustainable Development Goals (SDGs).</w:t>
      </w:r>
      <w:r/>
    </w:p>
    <w:p>
      <w:r/>
      <w:r>
        <w:t>Incorporating frameworks like the SDG-Impact Journal Rating, developed by David Steingard at the Haub School of Business, some business schools are increasingly scrutinised for their research alignment with global societal objectives. OpenAlex, for instance, has been pivotal in identifying SDG-related publications by evaluating articles in premier journals.</w:t>
      </w:r>
      <w:r/>
    </w:p>
    <w:p>
      <w:r/>
      <w:r>
        <w:t>Despite the inherent challenges of measuring academia's broader impact, these new methodologies are providing frameworks for academic institutions and stakeholders to focus their efforts on impactful research areas like artificial intelligence, supply chain innovation, marketplace literacy, and social equity.</w:t>
      </w:r>
      <w:r/>
    </w:p>
    <w:p>
      <w:r/>
      <w:r>
        <w:t>While these approaches represent significant progress, they invite ongoing dialogue about the depth and originality of academic contributions towards solving pressing global challenges. The dialogues around these methodological developments continue to encourage business schools globally to align their scholarly outputs with practical and societal needs.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https://www.chicagobooth.edu/why-booth/faculty-impact</w:t>
        </w:r>
      </w:hyperlink>
      <w:r>
        <w:t xml:space="preserve"> - Corroborates the impact of Booth faculty's research and commentary on global business practices.</w:t>
      </w:r>
      <w:r/>
    </w:p>
    <w:p>
      <w:pPr>
        <w:pStyle w:val="ListNumber"/>
        <w:spacing w:line="240" w:lineRule="auto"/>
        <w:ind w:left="720"/>
      </w:pPr>
      <w:r/>
      <w:hyperlink r:id="rId11">
        <w:r>
          <w:rPr>
            <w:color w:val="0000EE"/>
            <w:u w:val="single"/>
          </w:rPr>
          <w:t>https://news.uchicago.edu/story/booth-super-creative-innovative-school-thats-willing-break-things-and-fly-new-things</w:t>
        </w:r>
      </w:hyperlink>
      <w:r>
        <w:t xml:space="preserve"> - Provides context on Booth's innovative and impactful history, including its ranking and global influence.</w:t>
      </w:r>
      <w:r/>
    </w:p>
    <w:p>
      <w:pPr>
        <w:pStyle w:val="ListNumber"/>
        <w:spacing w:line="240" w:lineRule="auto"/>
        <w:ind w:left="720"/>
      </w:pPr>
      <w:r/>
      <w:hyperlink r:id="rId12">
        <w:r>
          <w:rPr>
            <w:color w:val="0000EE"/>
            <w:u w:val="single"/>
          </w:rPr>
          <w:t>http://mag.uchicago.edu/economics-business/business-booth</w:t>
        </w:r>
      </w:hyperlink>
      <w:r>
        <w:t xml:space="preserve"> - Highlights the collaborative and impactful research initiatives across various departments at Booth and the University of Chicago.</w:t>
      </w:r>
      <w:r/>
    </w:p>
    <w:p>
      <w:pPr>
        <w:pStyle w:val="ListNumber"/>
        <w:spacing w:line="240" w:lineRule="auto"/>
        <w:ind w:left="720"/>
      </w:pPr>
      <w:r/>
      <w:hyperlink r:id="rId13">
        <w:r>
          <w:rPr>
            <w:color w:val="0000EE"/>
            <w:u w:val="single"/>
          </w:rPr>
          <w:t>https://www.chicagobooth.edu/research/rustandy/what-we-do/social-impact-and-business</w:t>
        </w:r>
      </w:hyperlink>
      <w:r>
        <w:t xml:space="preserve"> - Details the social impact and business research focus at the Rustandy Center, aligning with broader societal implications.</w:t>
      </w:r>
      <w:r/>
    </w:p>
    <w:p>
      <w:pPr>
        <w:pStyle w:val="ListNumber"/>
        <w:spacing w:line="240" w:lineRule="auto"/>
        <w:ind w:left="720"/>
      </w:pPr>
      <w:r/>
      <w:hyperlink r:id="rId14">
        <w:r>
          <w:rPr>
            <w:color w:val="0000EE"/>
            <w:u w:val="single"/>
          </w:rPr>
          <w:t>https://ideasforleaders.com/institution/university-of-chicago-booth-school-of-business/</w:t>
        </w:r>
      </w:hyperlink>
      <w:r>
        <w:t xml:space="preserve"> - Supports the role of research centers at Booth in advancing knowledge and practice.</w:t>
      </w:r>
      <w:r/>
    </w:p>
    <w:p>
      <w:pPr>
        <w:pStyle w:val="ListNumber"/>
        <w:spacing w:line="240" w:lineRule="auto"/>
        <w:ind w:left="720"/>
      </w:pPr>
      <w:r/>
      <w:hyperlink r:id="rId15">
        <w:r>
          <w:rPr>
            <w:color w:val="0000EE"/>
            <w:u w:val="single"/>
          </w:rPr>
          <w:t>https://www.chicagobooth.edu/research/fama-miller</w:t>
        </w:r>
      </w:hyperlink>
      <w:r>
        <w:t xml:space="preserve"> - Illustrates the specific research focus areas at Booth, such as the Fama-Miller Center for Research in Finance, contributing to impactful research.</w:t>
      </w:r>
      <w:r/>
    </w:p>
    <w:p>
      <w:pPr>
        <w:pStyle w:val="ListNumber"/>
        <w:spacing w:line="240" w:lineRule="auto"/>
        <w:ind w:left="720"/>
      </w:pPr>
      <w:r/>
      <w:hyperlink r:id="rId16">
        <w:r>
          <w:rPr>
            <w:color w:val="0000EE"/>
            <w:u w:val="single"/>
          </w:rPr>
          <w:t>https://www.chicagobooth.edu/research/becker-friedman</w:t>
        </w:r>
      </w:hyperlink>
      <w:r>
        <w:t xml:space="preserve"> - Highlights the Becker Friedman Institute for Economics, which fosters novel insights on economic problems, contributing to broader societal impact.</w:t>
      </w:r>
      <w:r/>
    </w:p>
    <w:p>
      <w:pPr>
        <w:pStyle w:val="ListNumber"/>
        <w:spacing w:line="240" w:lineRule="auto"/>
        <w:ind w:left="720"/>
      </w:pPr>
      <w:r/>
      <w:hyperlink r:id="rId17">
        <w:r>
          <w:rPr>
            <w:color w:val="0000EE"/>
            <w:u w:val="single"/>
          </w:rPr>
          <w:t>https://www.opensyllabus.org/</w:t>
        </w:r>
      </w:hyperlink>
      <w:r>
        <w:t xml:space="preserve"> - Supports the notion of textbooks' value in disseminating management insights, as highlighted by the Open Syllabus project.</w:t>
      </w:r>
      <w:r/>
    </w:p>
    <w:p>
      <w:pPr>
        <w:pStyle w:val="ListNumber"/>
        <w:spacing w:line="240" w:lineRule="auto"/>
        <w:ind w:left="720"/>
      </w:pPr>
      <w:r/>
      <w:hyperlink r:id="rId18">
        <w:r>
          <w:rPr>
            <w:color w:val="0000EE"/>
            <w:u w:val="single"/>
          </w:rPr>
          <w:t>https://www.openalex.org/</w:t>
        </w:r>
      </w:hyperlink>
      <w:r>
        <w:t xml:space="preserve"> - Details the role of OpenAlex in identifying SDG-related publications and evaluating academic outputs for societal alignment.</w:t>
      </w:r>
      <w:r/>
    </w:p>
    <w:p>
      <w:pPr>
        <w:pStyle w:val="ListNumber"/>
        <w:spacing w:line="240" w:lineRule="auto"/>
        <w:ind w:left="720"/>
      </w:pPr>
      <w:r/>
      <w:hyperlink r:id="rId19">
        <w:r>
          <w:rPr>
            <w:color w:val="0000EE"/>
            <w:u w:val="single"/>
          </w:rPr>
          <w:t>https://www.scite.ai/</w:t>
        </w:r>
      </w:hyperlink>
      <w:r>
        <w:t xml:space="preserve"> - Mentions the use of Scite and other tools in evaluating the broader impact of academic research beyond traditional metrics.</w:t>
      </w:r>
      <w:r/>
    </w:p>
    <w:p>
      <w:pPr>
        <w:pStyle w:val="ListNumber"/>
        <w:spacing w:line="240" w:lineRule="auto"/>
        <w:ind w:left="720"/>
      </w:pPr>
      <w:r/>
      <w:hyperlink r:id="rId20">
        <w:r>
          <w:rPr>
            <w:color w:val="0000EE"/>
            <w:u w:val="single"/>
          </w:rPr>
          <w:t>https://sdgimpactjournalrating.org/</w:t>
        </w:r>
      </w:hyperlink>
      <w:r>
        <w:t xml:space="preserve"> - Explains the SDG-Impact Journal Rating framework developed by David Steingard, which aligns academic research with global societal objectives.</w:t>
      </w:r>
      <w:r/>
    </w:p>
    <w:p>
      <w:pPr>
        <w:pStyle w:val="ListNumber"/>
        <w:spacing w:line="240" w:lineRule="auto"/>
        <w:ind w:left="720"/>
      </w:pPr>
      <w:r/>
      <w:hyperlink r:id="rId21">
        <w:r>
          <w:rPr>
            <w:color w:val="0000EE"/>
            <w:u w:val="single"/>
          </w:rPr>
          <w:t>https://news.google.com/rss/articles/CBMicEFVX3lxTE9rRU0wQmtaem5JdGphTG1wODFlenljQmdZMm9OeGFSdnJZWVpITlUwWWVaemtRcVYzY3o0V3FpS2dUNmQ2VVhuYV9KUGMzYjROSVctRjllMkFmN0hfTmd2WUFRUzRpb3dtelhqWlcwSy0?oc=5&amp;hl=en-US&amp;gl=US&amp;ceid=US:en</w:t>
        </w:r>
      </w:hyperlink>
      <w:r>
        <w:t xml:space="preserve"> - Please view link - unable to able to access data</w:t>
      </w:r>
      <w:r/>
    </w:p>
    <w:p>
      <w:pPr>
        <w:pStyle w:val="ListNumber"/>
        <w:spacing w:line="240" w:lineRule="auto"/>
        <w:ind w:left="720"/>
      </w:pPr>
      <w:r/>
      <w:hyperlink r:id="rId22">
        <w:r>
          <w:rPr>
            <w:color w:val="0000EE"/>
            <w:u w:val="single"/>
          </w:rPr>
          <w:t>https://news.google.com/rss/articles/CBMicEFVX3lxTFA3WWZTRTV3aGRnSTZQVm5PRE1tYUxVOWFlNkdSUTdrVHVpV0puQWx1MV9fUDlTZzkzRWhrSHAtRkxfeFdHRFZiczZKNEo5QjhVTXppWHkwVG0yelhxZlRXOFoxSlFSanZTdVVhZDdoOUQ?oc=5&amp;hl=en-US&amp;gl=US&amp;ceid=US:en</w:t>
        </w:r>
      </w:hyperlink>
      <w:r>
        <w:t xml:space="preserve"> - Please view link - unable to able to access data</w:t>
      </w:r>
      <w:r/>
    </w:p>
    <w:p>
      <w:pPr>
        <w:pStyle w:val="ListNumber"/>
        <w:spacing w:line="240" w:lineRule="auto"/>
        <w:ind w:left="720"/>
      </w:pPr>
      <w:r/>
      <w:hyperlink r:id="rId23">
        <w:r>
          <w:rPr>
            <w:color w:val="0000EE"/>
            <w:u w:val="single"/>
          </w:rPr>
          <w:t>https://www.ft.com/content/1160d247-be62-4dbe-9a36-7a99a8f96ae4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hicagobooth.edu/why-booth/faculty-impact" TargetMode="External"/><Relationship Id="rId11" Type="http://schemas.openxmlformats.org/officeDocument/2006/relationships/hyperlink" Target="https://news.uchicago.edu/story/booth-super-creative-innovative-school-thats-willing-break-things-and-fly-new-things" TargetMode="External"/><Relationship Id="rId12" Type="http://schemas.openxmlformats.org/officeDocument/2006/relationships/hyperlink" Target="http://mag.uchicago.edu/economics-business/business-booth" TargetMode="External"/><Relationship Id="rId13" Type="http://schemas.openxmlformats.org/officeDocument/2006/relationships/hyperlink" Target="https://www.chicagobooth.edu/research/rustandy/what-we-do/social-impact-and-business" TargetMode="External"/><Relationship Id="rId14" Type="http://schemas.openxmlformats.org/officeDocument/2006/relationships/hyperlink" Target="https://ideasforleaders.com/institution/university-of-chicago-booth-school-of-business/" TargetMode="External"/><Relationship Id="rId15" Type="http://schemas.openxmlformats.org/officeDocument/2006/relationships/hyperlink" Target="https://www.chicagobooth.edu/research/fama-miller" TargetMode="External"/><Relationship Id="rId16" Type="http://schemas.openxmlformats.org/officeDocument/2006/relationships/hyperlink" Target="https://www.chicagobooth.edu/research/becker-friedman" TargetMode="External"/><Relationship Id="rId17" Type="http://schemas.openxmlformats.org/officeDocument/2006/relationships/hyperlink" Target="https://www.opensyllabus.org/" TargetMode="External"/><Relationship Id="rId18" Type="http://schemas.openxmlformats.org/officeDocument/2006/relationships/hyperlink" Target="https://www.openalex.org/" TargetMode="External"/><Relationship Id="rId19" Type="http://schemas.openxmlformats.org/officeDocument/2006/relationships/hyperlink" Target="https://www.scite.ai/" TargetMode="External"/><Relationship Id="rId20" Type="http://schemas.openxmlformats.org/officeDocument/2006/relationships/hyperlink" Target="https://sdgimpactjournalrating.org/" TargetMode="External"/><Relationship Id="rId21" Type="http://schemas.openxmlformats.org/officeDocument/2006/relationships/hyperlink" Target="https://news.google.com/rss/articles/CBMicEFVX3lxTE9rRU0wQmtaem5JdGphTG1wODFlenljQmdZMm9OeGFSdnJZWVpITlUwWWVaemtRcVYzY3o0V3FpS2dUNmQ2VVhuYV9KUGMzYjROSVctRjllMkFmN0hfTmd2WUFRUzRpb3dtelhqWlcwSy0?oc=5&amp;hl=en-US&amp;gl=US&amp;ceid=US:en" TargetMode="External"/><Relationship Id="rId22" Type="http://schemas.openxmlformats.org/officeDocument/2006/relationships/hyperlink" Target="https://news.google.com/rss/articles/CBMicEFVX3lxTFA3WWZTRTV3aGRnSTZQVm5PRE1tYUxVOWFlNkdSUTdrVHVpV0puQWx1MV9fUDlTZzkzRWhrSHAtRkxfeFdHRFZiczZKNEo5QjhVTXppWHkwVG0yelhxZlRXOFoxSlFSanZTdVVhZDdoOUQ?oc=5&amp;hl=en-US&amp;gl=US&amp;ceid=US:en" TargetMode="External"/><Relationship Id="rId23" Type="http://schemas.openxmlformats.org/officeDocument/2006/relationships/hyperlink" Target="https://www.ft.com/content/1160d247-be62-4dbe-9a36-7a99a8f96ae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