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Courts confront challenges of generative AI in legal practice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developing landscape of legal technology, courts are increasingly grappling with the implications of generative AI in legal practice. The utilisation of AI by lawyers is progressing at a pace that presents challenges to traditional legal frameworks, particularly around the protection of work product and the boundaries of discovery.</w:t>
      </w:r>
      <w:r/>
    </w:p>
    <w:p>
      <w:r/>
      <w:r>
        <w:t>A notable case shedding light on this issue is Tremblay v. OpenAI, Inc. in the Northern District of California (Case No. 23-cv-03223-AMO). The case, which involved copyright owners accusing OpenAI of improperly using their copyrighted creations, provided an early judicial analysis of how work product protection can be applied in the context of AI.</w:t>
      </w:r>
      <w:r/>
    </w:p>
    <w:p>
      <w:r/>
      <w:r>
        <w:t xml:space="preserve">In this case, OpenAI requested all of the plaintiffs’ test results, which included prompts and outputs that did not necessarily reproduce or summarise the plaintiffs’ works, nor support their claims. The request for these ‘negative results’ was a point of contention. Initially, a magistrate judge ordered the plaintiffs to produce both negative and positive test results. However, U.S. District Judge Araceli Martintez-Olguin later reversed this decision. </w:t>
      </w:r>
      <w:r/>
    </w:p>
    <w:p>
      <w:r/>
      <w:r>
        <w:t>Judge Martintez-Olguin's ruling was significant as it underscored that the prompts crafted by the plaintiffs' counsel were considered to contain mental impressions and strategic insights, thus rendering them part of the lawyer’s work product. The ruling indicated that while disclosure of prompts that supported the plaintiffs' claims waived their work product protection, this waiver did not extend to other prompts not disclosed in the complaint.</w:t>
      </w:r>
      <w:r/>
    </w:p>
    <w:p>
      <w:r/>
      <w:r>
        <w:t>This case highlights the complexities surrounding the use of AI in the legal field. Lawyers frequently utilise AI for tasks such as drafting and filing documents, which raises new challenges around disclosure and the protection of confidential legal strategies. Many courts now require lawyers to disclose their use of AI in preparing filings and are particularly vigilant against AI 'hallucinations'—outputs that are inaccurate or nonsensical.</w:t>
      </w:r>
      <w:r/>
    </w:p>
    <w:p>
      <w:r/>
      <w:r>
        <w:t>Moreover, the ruling aligns with the principles outlined in the Sporck doctrine, which traditionally protects a lawyer’s strategic selection of materials, like witness interviews or document compilations used during case preparation, from discovery by adversaries.</w:t>
      </w:r>
      <w:r/>
    </w:p>
    <w:p>
      <w:r/>
      <w:r>
        <w:t>As the integration of AI in legal processes continues to grow, more court cases are likely to emerge, requiring further interpretation of work product protections in this context. The legal community is observing closely as these precedents shape the future interaction between technology and law, balancing innovation with the preservation of established legal principles.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https://www.calbar.ca.gov/Portals/0/documents/ethics/Generative-AI-Practical-Guidance.pdf</w:t>
        </w:r>
      </w:hyperlink>
      <w:r>
        <w:t xml:space="preserve"> - This document from the State Bar of California provides practical guidance on the use of generative AI in legal practice, including the protection of work product and the boundaries of discovery, highlighting the need for lawyers to understand the risks and benefits of AI technology.</w:t>
      </w:r>
      <w:r/>
    </w:p>
    <w:p>
      <w:pPr>
        <w:pStyle w:val="ListNumber"/>
        <w:spacing w:line="240" w:lineRule="auto"/>
        <w:ind w:left="720"/>
      </w:pPr>
      <w:r/>
      <w:hyperlink r:id="rId11">
        <w:r>
          <w:rPr>
            <w:color w:val="0000EE"/>
            <w:u w:val="single"/>
          </w:rPr>
          <w:t>https://epiloguesystems.com/blog/5-key-ai-legal-challenges/</w:t>
        </w:r>
      </w:hyperlink>
      <w:r>
        <w:t xml:space="preserve"> - This article discusses the legal challenges surrounding generative AI, including issues related to intellectual property, data privacy, liability, and transparency, which are relevant to the complexities of AI in legal practice.</w:t>
      </w:r>
      <w:r/>
    </w:p>
    <w:p>
      <w:pPr>
        <w:pStyle w:val="ListNumber"/>
        <w:spacing w:line="240" w:lineRule="auto"/>
        <w:ind w:left="720"/>
      </w:pPr>
      <w:r/>
      <w:hyperlink r:id="rId12">
        <w:r>
          <w:rPr>
            <w:color w:val="0000EE"/>
            <w:u w:val="single"/>
          </w:rPr>
          <w:t>https://www.economicsobservatory.com/how-is-generative-artificial-intelligence-changing-the-legal-profession</w:t>
        </w:r>
      </w:hyperlink>
      <w:r>
        <w:t xml:space="preserve"> - This article explains how generative AI is transforming the legal profession, including its impact on drafting and reviewing legal documents, and the challenges such as hallucinations and jurisdiction-specific legal knowledge.</w:t>
      </w:r>
      <w:r/>
    </w:p>
    <w:p>
      <w:pPr>
        <w:pStyle w:val="ListNumber"/>
        <w:spacing w:line="240" w:lineRule="auto"/>
        <w:ind w:left="720"/>
      </w:pPr>
      <w:r/>
      <w:hyperlink r:id="rId13">
        <w:r>
          <w:rPr>
            <w:color w:val="0000EE"/>
            <w:u w:val="single"/>
          </w:rPr>
          <w:t>https://pro.bloomberglaw.com/insights/technology/what-are-the-risks-of-ai-in-law-firms/</w:t>
        </w:r>
      </w:hyperlink>
      <w:r>
        <w:t xml:space="preserve"> - This article from Bloomberg Law discusses the risks of AI in law firms, including issues of inaccuracy, bias, confidentiality, and compliance with regulations, which are crucial in the context of work product protection and discovery.</w:t>
      </w:r>
      <w:r/>
    </w:p>
    <w:p>
      <w:pPr>
        <w:pStyle w:val="ListNumber"/>
        <w:spacing w:line="240" w:lineRule="auto"/>
        <w:ind w:left="720"/>
      </w:pPr>
      <w:r/>
      <w:hyperlink r:id="rId14">
        <w:r>
          <w:rPr>
            <w:color w:val="0000EE"/>
            <w:u w:val="single"/>
          </w:rPr>
          <w:t>https://legal.thomsonreuters.com/blog/the-key-legal-issues-with-gen-ai/</w:t>
        </w:r>
      </w:hyperlink>
      <w:r>
        <w:t xml:space="preserve"> - This blog post highlights the key legal issues with generative AI, including the risks of output and input, the importance of protecting confidentiality, and the ethical pitfalls of using AI in legal work.</w:t>
      </w:r>
      <w:r/>
    </w:p>
    <w:p>
      <w:pPr>
        <w:pStyle w:val="ListNumber"/>
        <w:spacing w:line="240" w:lineRule="auto"/>
        <w:ind w:left="720"/>
      </w:pPr>
      <w:r/>
      <w:hyperlink r:id="rId10">
        <w:r>
          <w:rPr>
            <w:color w:val="0000EE"/>
            <w:u w:val="single"/>
          </w:rPr>
          <w:t>https://www.calbar.ca.gov/Portals/0/documents/ethics/Generative-AI-Practical-Guidance.pdf</w:t>
        </w:r>
      </w:hyperlink>
      <w:r>
        <w:t xml:space="preserve"> - This document emphasizes the duty of competence and the need for lawyers to critically review and validate AI-generated outputs to ensure they do not compromise work product protection or confidentiality.</w:t>
      </w:r>
      <w:r/>
    </w:p>
    <w:p>
      <w:pPr>
        <w:pStyle w:val="ListNumber"/>
        <w:spacing w:line="240" w:lineRule="auto"/>
        <w:ind w:left="720"/>
      </w:pPr>
      <w:r/>
      <w:hyperlink r:id="rId11">
        <w:r>
          <w:rPr>
            <w:color w:val="0000EE"/>
            <w:u w:val="single"/>
          </w:rPr>
          <w:t>https://epiloguesystems.com/blog/5-key-ai-legal-challenges/</w:t>
        </w:r>
      </w:hyperlink>
      <w:r>
        <w:t xml:space="preserve"> - The article discusses the importance of transparency and explainability in AI decision-making, which is relevant to the judicial analysis of AI-generated content in cases like Tremblay v. OpenAI, Inc.</w:t>
      </w:r>
      <w:r/>
    </w:p>
    <w:p>
      <w:pPr>
        <w:pStyle w:val="ListNumber"/>
        <w:spacing w:line="240" w:lineRule="auto"/>
        <w:ind w:left="720"/>
      </w:pPr>
      <w:r/>
      <w:hyperlink r:id="rId12">
        <w:r>
          <w:rPr>
            <w:color w:val="0000EE"/>
            <w:u w:val="single"/>
          </w:rPr>
          <w:t>https://www.economicsobservatory.com/how-is-generative-artificial-intelligence-changing-the-legal-profession</w:t>
        </w:r>
      </w:hyperlink>
      <w:r>
        <w:t xml:space="preserve"> - This source details the challenges of training jurisdiction-specific AI models and the need for careful oversight to protect legal strategies and work product.</w:t>
      </w:r>
      <w:r/>
    </w:p>
    <w:p>
      <w:pPr>
        <w:pStyle w:val="ListNumber"/>
        <w:spacing w:line="240" w:lineRule="auto"/>
        <w:ind w:left="720"/>
      </w:pPr>
      <w:r/>
      <w:hyperlink r:id="rId13">
        <w:r>
          <w:rPr>
            <w:color w:val="0000EE"/>
            <w:u w:val="single"/>
          </w:rPr>
          <w:t>https://pro.bloomberglaw.com/insights/technology/what-are-the-risks-of-ai-in-law-firms/</w:t>
        </w:r>
      </w:hyperlink>
      <w:r>
        <w:t xml:space="preserve"> - The article mentions the American Bar Association’s Model Rules of Professional Conduct and the importance of competent representation, which aligns with the principles of protecting work product and ensuring ethical use of AI.</w:t>
      </w:r>
      <w:r/>
    </w:p>
    <w:p>
      <w:pPr>
        <w:pStyle w:val="ListNumber"/>
        <w:spacing w:line="240" w:lineRule="auto"/>
        <w:ind w:left="720"/>
      </w:pPr>
      <w:r/>
      <w:hyperlink r:id="rId14">
        <w:r>
          <w:rPr>
            <w:color w:val="0000EE"/>
            <w:u w:val="single"/>
          </w:rPr>
          <w:t>https://legal.thomsonreuters.com/blog/the-key-legal-issues-with-gen-ai/</w:t>
        </w:r>
      </w:hyperlink>
      <w:r>
        <w:t xml:space="preserve"> - This blog post underscores the ethical considerations and the need for legal professionals to be aware of the limitations and risks of AI, including the potential for 'hallucinations' and the importance of protecting client confidentiality.</w:t>
      </w:r>
      <w:r/>
    </w:p>
    <w:p>
      <w:pPr>
        <w:pStyle w:val="ListNumber"/>
        <w:spacing w:line="240" w:lineRule="auto"/>
        <w:ind w:left="720"/>
      </w:pPr>
      <w:r/>
      <w:hyperlink r:id="rId10">
        <w:r>
          <w:rPr>
            <w:color w:val="0000EE"/>
            <w:u w:val="single"/>
          </w:rPr>
          <w:t>https://www.calbar.ca.gov/Portals/0/documents/ethics/Generative-AI-Practical-Guidance.pdf</w:t>
        </w:r>
      </w:hyperlink>
      <w:r>
        <w:t xml:space="preserve"> - The document highlights the duty to supervise and the need for clear policies on the use of generative AI, which is crucial in maintaining the integrity of legal work product and strategies.</w:t>
      </w:r>
      <w:r/>
    </w:p>
    <w:p>
      <w:pPr>
        <w:pStyle w:val="ListNumber"/>
        <w:spacing w:line="240" w:lineRule="auto"/>
        <w:ind w:left="720"/>
      </w:pPr>
      <w:r/>
      <w:hyperlink r:id="rId15">
        <w:r>
          <w:rPr>
            <w:color w:val="0000EE"/>
            <w:u w:val="single"/>
          </w:rPr>
          <w:t>https://www.jdsupra.com/legalnews/courts-begin-to-address-the-work-2728326/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lbar.ca.gov/Portals/0/documents/ethics/Generative-AI-Practical-Guidance.pdf" TargetMode="External"/><Relationship Id="rId11" Type="http://schemas.openxmlformats.org/officeDocument/2006/relationships/hyperlink" Target="https://epiloguesystems.com/blog/5-key-ai-legal-challenges/" TargetMode="External"/><Relationship Id="rId12" Type="http://schemas.openxmlformats.org/officeDocument/2006/relationships/hyperlink" Target="https://www.economicsobservatory.com/how-is-generative-artificial-intelligence-changing-the-legal-profession" TargetMode="External"/><Relationship Id="rId13" Type="http://schemas.openxmlformats.org/officeDocument/2006/relationships/hyperlink" Target="https://pro.bloomberglaw.com/insights/technology/what-are-the-risks-of-ai-in-law-firms/" TargetMode="External"/><Relationship Id="rId14" Type="http://schemas.openxmlformats.org/officeDocument/2006/relationships/hyperlink" Target="https://legal.thomsonreuters.com/blog/the-key-legal-issues-with-gen-ai/" TargetMode="External"/><Relationship Id="rId15" Type="http://schemas.openxmlformats.org/officeDocument/2006/relationships/hyperlink" Target="https://www.jdsupra.com/legalnews/courts-begin-to-address-the-work-27283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