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FOMO.fund pioneers the world's first Initial Agent Offering with autonomous AI agents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latest development in the rapidly evolving intersection of artificial intelligence and cryptocurrency, FOMO.fund has positioned itself at the forefront with the announcement of a pioneering project that promises to redefine engagement in this burgeoning sector. The platform, which operates on the Solana blockchain, has unveiled its new venture involving the deployment of fully autonomous AI agents. This initiative, announced recently, outlines plans for the world's first Initial Agent Offering (IAO), a novel concept that is likely to capture the imagination of crypto enthusiasts and investors alike.</w:t>
      </w:r>
      <w:r/>
    </w:p>
    <w:p>
      <w:r/>
      <w:r>
        <w:t>FOMO.fund has built a reputation for innovation in the memecoin sector, leveraging established communities to introduce cutting-edge technologies. As part of its recent announcement, the platform highlighted that these AI agents are not mere bots but are instead fully autonomous entities. The agents possess the ability to learn, interact, and create independently across multiple social media platforms, including Twitter, YouTube, and Telegram. This autonomy allows them to undertake a variety of tasks such as promoting tokens, generating content, and enhancing community engagement without human intervention.</w:t>
      </w:r>
      <w:r/>
    </w:p>
    <w:p>
      <w:r/>
      <w:r>
        <w:t>The AI launchpad platform on Solana has attracted considerable interest from its existing community base, which is notably extensive. With an active user network and over 12 million members on its Telegram community alone, FOMO.fund has tapped into a vibrant user ecosystem that is keenly engaged with developments in the crypto world. The recent announcement regarding the AI launchpad has been met with enthusiasm across social media platforms, where discussions about the potential applications and benefits of these autonomous AI agents are rife.</w:t>
      </w:r>
      <w:r/>
    </w:p>
    <w:p>
      <w:r/>
      <w:r>
        <w:t>In conjunction with the launch of these AI agents, FOMO.fund is currently conducting a presale of its native token, $FOMO. The sale offers the community an opportunity to be early participants in the AI Agent token launch phase. Significantly, 15% of the FOMO token supply is allocated to this presale, with a commitment that all tokens will be 100% unlocked on the Token Generation Event (TGE). This presale comes ahead of anticipated token listings on major exchanges, a move that is expected to augment visibility and trading activities for $FOMO.</w:t>
      </w:r>
      <w:r/>
    </w:p>
    <w:p>
      <w:r/>
      <w:r>
        <w:t>As the AI and cryptocurrency spaces continue to converge, the introduction of fully autonomous AI agents by FOMO.fund underscores the potential for innovation and the expansion of decentralized finance frontiers. The development marks a significant step in the evolution of blockchain technology applications, promising new levels of interactive and autonomous engagements across digital platforms. The initiative serves as a testament to the dynamic nature of the crypto economy, as platforms like FOMO.fund continue to pioneer initiatives that push boundaries and explore new digital territories.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https://fomo.fund</w:t>
        </w:r>
      </w:hyperlink>
      <w:r>
        <w:t xml:space="preserve"> - Provides information on FOMO.fund's platform, including its ability to create, trade, and manage memecoins, and its focus on security and transparency.</w:t>
      </w:r>
      <w:r/>
    </w:p>
    <w:p>
      <w:pPr>
        <w:pStyle w:val="ListNumber"/>
        <w:spacing w:line="240" w:lineRule="auto"/>
        <w:ind w:left="720"/>
      </w:pPr>
      <w:r/>
      <w:hyperlink r:id="rId11">
        <w:r>
          <w:rPr>
            <w:color w:val="0000EE"/>
            <w:u w:val="single"/>
          </w:rPr>
          <w:t>https://www.analyticsinsight.net/cryptocurrency-analytics-insight/how-trumps-win-and-ai-agent-memecoins-could-100x-portfolios</w:t>
        </w:r>
      </w:hyperlink>
      <w:r>
        <w:t xml:space="preserve"> - Details FOMO.fund's announcement of fully autonomous AI agents, the Initial Agent Offering (IAO), and the platform's extensive community engagement.</w:t>
      </w:r>
      <w:r/>
    </w:p>
    <w:p>
      <w:pPr>
        <w:pStyle w:val="ListNumber"/>
        <w:spacing w:line="240" w:lineRule="auto"/>
        <w:ind w:left="720"/>
      </w:pPr>
      <w:r/>
      <w:hyperlink r:id="rId11">
        <w:r>
          <w:rPr>
            <w:color w:val="0000EE"/>
            <w:u w:val="single"/>
          </w:rPr>
          <w:t>https://www.analyticsinsight.net/cryptocurrency-analytics-insight/how-trumps-win-and-ai-agent-memecoins-could-100x-portfolios</w:t>
        </w:r>
      </w:hyperlink>
      <w:r>
        <w:t xml:space="preserve"> - Explains the capabilities of the AI agents, including their ability to learn, interact, and create content across multiple platforms.</w:t>
      </w:r>
      <w:r/>
    </w:p>
    <w:p>
      <w:pPr>
        <w:pStyle w:val="ListNumber"/>
        <w:spacing w:line="240" w:lineRule="auto"/>
        <w:ind w:left="720"/>
      </w:pPr>
      <w:r/>
      <w:hyperlink r:id="rId11">
        <w:r>
          <w:rPr>
            <w:color w:val="0000EE"/>
            <w:u w:val="single"/>
          </w:rPr>
          <w:t>https://www.analyticsinsight.net/cryptocurrency-analytics-insight/how-trumps-win-and-ai-agent-memecoins-could-100x-portfolios</w:t>
        </w:r>
      </w:hyperlink>
      <w:r>
        <w:t xml:space="preserve"> - Discusses the presale of the $FOMO token, the allocation of 15% of the token supply to early community members, and the token's unlocking on the Token Generation Event (TGE).</w:t>
      </w:r>
      <w:r/>
    </w:p>
    <w:p>
      <w:pPr>
        <w:pStyle w:val="ListNumber"/>
        <w:spacing w:line="240" w:lineRule="auto"/>
        <w:ind w:left="720"/>
      </w:pPr>
      <w:r/>
      <w:hyperlink r:id="rId11">
        <w:r>
          <w:rPr>
            <w:color w:val="0000EE"/>
            <w:u w:val="single"/>
          </w:rPr>
          <w:t>https://www.analyticsinsight.net/cryptocurrency-analytics-insight/how-trumps-win-and-ai-agent-memecoins-could-100x-portfolios</w:t>
        </w:r>
      </w:hyperlink>
      <w:r>
        <w:t xml:space="preserve"> - Highlights the interest and enthusiasm from FOMO.fund's extensive community, including over 12 million members on Telegram.</w:t>
      </w:r>
      <w:r/>
    </w:p>
    <w:p>
      <w:pPr>
        <w:pStyle w:val="ListNumber"/>
        <w:spacing w:line="240" w:lineRule="auto"/>
        <w:ind w:left="720"/>
      </w:pPr>
      <w:r/>
      <w:hyperlink r:id="rId11">
        <w:r>
          <w:rPr>
            <w:color w:val="0000EE"/>
            <w:u w:val="single"/>
          </w:rPr>
          <w:t>https://www.analyticsinsight.net/cryptocurrency-analytics-insight/how-trumps-win-and-ai-agent-memecoins-could-100x-portfolios</w:t>
        </w:r>
      </w:hyperlink>
      <w:r>
        <w:t xml:space="preserve"> - Mentions the potential applications and benefits of the autonomous AI agents and their impact on the crypto ecosystem.</w:t>
      </w:r>
      <w:r/>
    </w:p>
    <w:p>
      <w:pPr>
        <w:pStyle w:val="ListNumber"/>
        <w:spacing w:line="240" w:lineRule="auto"/>
        <w:ind w:left="720"/>
      </w:pPr>
      <w:r/>
      <w:hyperlink r:id="rId10">
        <w:r>
          <w:rPr>
            <w:color w:val="0000EE"/>
            <w:u w:val="single"/>
          </w:rPr>
          <w:t>https://fomo.fund</w:t>
        </w:r>
      </w:hyperlink>
      <w:r>
        <w:t xml:space="preserve"> - Describes FOMO.fund's platform on the Solana blockchain and its focus on innovation in the memecoin sector.</w:t>
      </w:r>
      <w:r/>
    </w:p>
    <w:p>
      <w:pPr>
        <w:pStyle w:val="ListNumber"/>
        <w:spacing w:line="240" w:lineRule="auto"/>
        <w:ind w:left="720"/>
      </w:pPr>
      <w:r/>
      <w:hyperlink r:id="rId12">
        <w:r>
          <w:rPr>
            <w:color w:val="0000EE"/>
            <w:u w:val="single"/>
          </w:rPr>
          <w:t>https://www.fintechnews.org/will-ai-use-crypto-heres-whats-driving-ai-token-fomo/</w:t>
        </w:r>
      </w:hyperlink>
      <w:r>
        <w:t xml:space="preserve"> - Provides context on the broader trend of AI and cryptocurrency convergence, including the narrative of AI agents using cryptocurrency.</w:t>
      </w:r>
      <w:r/>
    </w:p>
    <w:p>
      <w:pPr>
        <w:pStyle w:val="ListNumber"/>
        <w:spacing w:line="240" w:lineRule="auto"/>
        <w:ind w:left="720"/>
      </w:pPr>
      <w:r/>
      <w:hyperlink r:id="rId11">
        <w:r>
          <w:rPr>
            <w:color w:val="0000EE"/>
            <w:u w:val="single"/>
          </w:rPr>
          <w:t>https://www.analyticsinsight.net/cryptocurrency-analytics-insight/how-trumps-win-and-ai-agent-memecoins-could-100x-portfolios</w:t>
        </w:r>
      </w:hyperlink>
      <w:r>
        <w:t xml:space="preserve"> - Details the integration of AI with memecoins and the potential for significant community engagement and value creation.</w:t>
      </w:r>
      <w:r/>
    </w:p>
    <w:p>
      <w:pPr>
        <w:pStyle w:val="ListNumber"/>
        <w:spacing w:line="240" w:lineRule="auto"/>
        <w:ind w:left="720"/>
      </w:pPr>
      <w:r/>
      <w:hyperlink r:id="rId11">
        <w:r>
          <w:rPr>
            <w:color w:val="0000EE"/>
            <w:u w:val="single"/>
          </w:rPr>
          <w:t>https://www.analyticsinsight.net/cryptocurrency-analytics-insight/how-trumps-win-and-ai-agent-memecoins-could-100x-portfolios</w:t>
        </w:r>
      </w:hyperlink>
      <w:r>
        <w:t xml:space="preserve"> - Explains the strategic importance of FOMO.fund's initiative in the evolution of blockchain technology and decentralized finance.</w:t>
      </w:r>
      <w:r/>
    </w:p>
    <w:p>
      <w:pPr>
        <w:pStyle w:val="ListNumber"/>
        <w:spacing w:line="240" w:lineRule="auto"/>
        <w:ind w:left="720"/>
      </w:pPr>
      <w:r/>
      <w:hyperlink r:id="rId11">
        <w:r>
          <w:rPr>
            <w:color w:val="0000EE"/>
            <w:u w:val="single"/>
          </w:rPr>
          <w:t>https://www.analyticsinsight.net/cryptocurrency-analytics-insight/how-trumps-win-and-ai-agent-memecoins-could-100x-portfolios</w:t>
        </w:r>
      </w:hyperlink>
      <w:r>
        <w:t xml:space="preserve"> - Highlights the dynamic nature of the crypto economy and how platforms like FOMO.fund are pioneering new initiatives.</w:t>
      </w:r>
      <w:r/>
    </w:p>
    <w:p>
      <w:pPr>
        <w:pStyle w:val="ListNumber"/>
        <w:spacing w:line="240" w:lineRule="auto"/>
        <w:ind w:left="720"/>
      </w:pPr>
      <w:r/>
      <w:hyperlink r:id="rId11">
        <w:r>
          <w:rPr>
            <w:color w:val="0000EE"/>
            <w:u w:val="single"/>
          </w:rPr>
          <w:t>https://www.analyticsinsight.net/cryptocurrency-analytics-insight/how-trumps-win-and-ai-agent-memecoins-could-100x-portfolios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mo.fund" TargetMode="External"/><Relationship Id="rId11" Type="http://schemas.openxmlformats.org/officeDocument/2006/relationships/hyperlink" Target="https://www.analyticsinsight.net/cryptocurrency-analytics-insight/how-trumps-win-and-ai-agent-memecoins-could-100x-portfolios" TargetMode="External"/><Relationship Id="rId12" Type="http://schemas.openxmlformats.org/officeDocument/2006/relationships/hyperlink" Target="https://www.fintechnews.org/will-ai-use-crypto-heres-whats-driving-ai-token-fom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