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Mergers and acquisitions thrive in digital media and InsurTech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third quarter of 2024, both the digital media and InsurTech industries experienced significant growth in mergers and acquisitions (M&amp;A) and funding activities, highlighting a recovery from a period of stagnation and signaling key strategic shifts within these sectors.</w:t>
      </w:r>
      <w:r/>
    </w:p>
    <w:p>
      <w:r/>
      <w:r>
        <w:t>In the digital media and advertising technology space, M&amp;A activity surged as companies sought to expand their capabilities in an evolving market. The resurgence follows the Federal Reserve's recent rate cut and a general easing of inflationary pressures, which have created a more conducive environment for strategic investments. There was a particular focus on areas such as Data/Identity, Connected TV (CTV), Commerce Media, and Mobile. According to LUMA Partners, the ad tech sector observed a 13% increase in deal volume from the second quarter of 2024, with a marked rise in deals valued over $100 million. This represents a significant recovery from the sluggish deal-making environment of 2023.</w:t>
      </w:r>
      <w:r/>
    </w:p>
    <w:p>
      <w:r/>
      <w:r>
        <w:t>The Ad Tech sector saw a more than 25% increase in strategic transactions during this period, including significant acquisitions like Publicis Groupe’s acquisitions of Mars Commerce and Influential. The MarTech sector also experienced a 15% rise in M&amp;A activity, reflecting a 118% year-over-year increase, while Digital Content M&amp;A noted a modest 5% increase in deal volume from the previous quarter.</w:t>
      </w:r>
      <w:r/>
    </w:p>
    <w:p>
      <w:r/>
      <w:r>
        <w:t>Notable transactions contributing to the current momentum include Samba TV’s acquisition of Semasio and Zeta’s purchase of LiveIntent. Industry experts note that while the volume and activity of deals have increased, many acquisitions are driven by strategic consolidation rather than groundbreaking transformations. However, the industry is expected to maintain this momentum into 2025, with companies looking to strengthen their portfolios in response to antitrust regulations and changes in digital privacy policies.</w:t>
      </w:r>
      <w:r/>
    </w:p>
    <w:p>
      <w:r/>
      <w:r>
        <w:t>In parallel, the InsurTech sector also saw robust growth, driven largely by investments in artificial intelligence (AI) technologies. Gallagher Re's latest InsurTech report highlights that AI-focused InsurTechs raised $897.4 million across 29 deals, marking the highest funding level since the first quarter of 2023. AI-centric companies accounted for eight of the top 10 largest funding rounds, averaging $34.9 million per deal.</w:t>
      </w:r>
      <w:r/>
    </w:p>
    <w:p>
      <w:r/>
      <w:r>
        <w:t>Overall, global InsurTech funding totalled $1.38 billion in Q3 2024. Despite a decrease in the number of deals, with 77 recorded—the lowest in nearly four years—the average deal size increased, surpassing $20 million for the first time since Q3 2022. This growth was bolstered by five mega-round deals exceeding $100 million, with 55.5% of total funding allocated to these substantial ventures.</w:t>
      </w:r>
      <w:r/>
    </w:p>
    <w:p>
      <w:r/>
      <w:r>
        <w:t>Investments gravitated towards mid-stage funding rounds and operational technology companies, signalling a strategic preference for scaling existing technologies. Funding for Life &amp; Health InsurTechs soared by 56.4% quarter-on-quarter, while Property &amp; Casualty (P&amp;C) InsurTechs experienced a 15.4% decline in funding. The focus on AI-driven InsurTechs and operational technology companies underscores an industry-wide emphasis on scalable and innovative solutions, reflecting confidence in the sector’s long-term potential.</w:t>
      </w:r>
      <w:r/>
    </w:p>
    <w:p>
      <w:r/>
      <w:r>
        <w:t>The developments in both digital media and InsurTech sectors during Q3 2024 highlight a strategic consolidation and a focus on innovation, setting the stage for continued evolution and growth as companies adapt to the ever-changing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https://www.theinsurer.com/news/gallagher-re-insurtech-q3-funding-totals-1-38bn-as-ai-investments-gain-momentum/</w:t>
        </w:r>
      </w:hyperlink>
      <w:r>
        <w:t xml:space="preserve"> - Corroborates the global InsurTech funding total of $1.38 billion in Q3 2024 and the focus on AI investments.</w:t>
      </w:r>
      <w:r/>
    </w:p>
    <w:p>
      <w:pPr>
        <w:pStyle w:val="ListNumber"/>
        <w:spacing w:line="240" w:lineRule="auto"/>
        <w:ind w:left="720"/>
      </w:pPr>
      <w:r/>
      <w:hyperlink r:id="rId11">
        <w:r>
          <w:rPr>
            <w:color w:val="0000EE"/>
            <w:u w:val="single"/>
          </w:rPr>
          <w:t>https://www.reinsurancene.ws/global-insurtech-funding-reaches-3-2bn-in-q3-expected-to-reach-4-2bn-by-the-end-of-2024/</w:t>
        </w:r>
      </w:hyperlink>
      <w:r>
        <w:t xml:space="preserve"> - Provides context on the overall InsurTech funding trends, including the expected total for 2024 and regional breakdowns.</w:t>
      </w:r>
      <w:r/>
    </w:p>
    <w:p>
      <w:pPr>
        <w:pStyle w:val="ListNumber"/>
        <w:spacing w:line="240" w:lineRule="auto"/>
        <w:ind w:left="720"/>
      </w:pPr>
      <w:r/>
      <w:hyperlink r:id="rId12">
        <w:r>
          <w:rPr>
            <w:color w:val="0000EE"/>
            <w:u w:val="single"/>
          </w:rPr>
          <w:t>https://www.reinsurancene.ws/ai-focused-insurtechs-lead-funding-surge-in-q324-with-897-4m-raised-gallagher-re/</w:t>
        </w:r>
      </w:hyperlink>
      <w:r>
        <w:t xml:space="preserve"> - Details the funding raised by AI-focused InsurTechs, the average deal size, and the shift towards mid-stage funding and operational technology companies.</w:t>
      </w:r>
      <w:r/>
    </w:p>
    <w:p>
      <w:pPr>
        <w:pStyle w:val="ListNumber"/>
        <w:spacing w:line="240" w:lineRule="auto"/>
        <w:ind w:left="720"/>
      </w:pPr>
      <w:r/>
      <w:hyperlink r:id="rId10">
        <w:r>
          <w:rPr>
            <w:color w:val="0000EE"/>
            <w:u w:val="single"/>
          </w:rPr>
          <w:t>https://www.theinsurer.com/news/gallagher-re-insurtech-q3-funding-totals-1-38bn-as-ai-investments-gain-momentum/</w:t>
        </w:r>
      </w:hyperlink>
      <w:r>
        <w:t xml:space="preserve"> - Confirms the decline in P&amp;C InsurTech funding by 15.4% and the increase in Life &amp; Health InsurTech funding.</w:t>
      </w:r>
      <w:r/>
    </w:p>
    <w:p>
      <w:pPr>
        <w:pStyle w:val="ListNumber"/>
        <w:spacing w:line="240" w:lineRule="auto"/>
        <w:ind w:left="720"/>
      </w:pPr>
      <w:r/>
      <w:hyperlink r:id="rId12">
        <w:r>
          <w:rPr>
            <w:color w:val="0000EE"/>
            <w:u w:val="single"/>
          </w:rPr>
          <w:t>https://www.reinsurancene.ws/ai-focused-insurtechs-lead-funding-surge-in-q324-with-897-4m-raised-gallagher-re/</w:t>
        </w:r>
      </w:hyperlink>
      <w:r>
        <w:t xml:space="preserve"> - Highlights the strategic preference for scaling existing technologies and the focus on operational technology companies.</w:t>
      </w:r>
      <w:r/>
    </w:p>
    <w:p>
      <w:pPr>
        <w:pStyle w:val="ListNumber"/>
        <w:spacing w:line="240" w:lineRule="auto"/>
        <w:ind w:left="720"/>
      </w:pPr>
      <w:r/>
      <w:hyperlink r:id="rId11">
        <w:r>
          <w:rPr>
            <w:color w:val="0000EE"/>
            <w:u w:val="single"/>
          </w:rPr>
          <w:t>https://www.reinsurancene.ws/global-insurtech-funding-reaches-3-2bn-in-q3-expected-to-reach-4-2bn-by-the-end-of-2024/</w:t>
        </w:r>
      </w:hyperlink>
      <w:r>
        <w:t xml:space="preserve"> - Discusses the regional distribution of InsurTech funding, including the performance of the US and Europe, and the challenges in Latin America and Asia.</w:t>
      </w:r>
      <w:r/>
    </w:p>
    <w:p>
      <w:pPr>
        <w:pStyle w:val="ListNumber"/>
        <w:spacing w:line="240" w:lineRule="auto"/>
        <w:ind w:left="720"/>
      </w:pPr>
      <w:r/>
      <w:hyperlink r:id="rId12">
        <w:r>
          <w:rPr>
            <w:color w:val="0000EE"/>
            <w:u w:val="single"/>
          </w:rPr>
          <w:t>https://www.reinsurancene.ws/ai-focused-insurtechs-lead-funding-surge-in-q324-with-897-4m-raised-gallagher-re/</w:t>
        </w:r>
      </w:hyperlink>
      <w:r>
        <w:t xml:space="preserve"> - Mentions the increase in average deal size and the significance of mega-round deals exceeding $100 million.</w:t>
      </w:r>
      <w:r/>
    </w:p>
    <w:p>
      <w:pPr>
        <w:pStyle w:val="ListNumber"/>
        <w:spacing w:line="240" w:lineRule="auto"/>
        <w:ind w:left="720"/>
      </w:pPr>
      <w:r/>
      <w:hyperlink r:id="rId10">
        <w:r>
          <w:rPr>
            <w:color w:val="0000EE"/>
            <w:u w:val="single"/>
          </w:rPr>
          <w:t>https://www.theinsurer.com/news/gallagher-re-insurtech-q3-funding-totals-1-38bn-as-ai-investments-gain-momentum/</w:t>
        </w:r>
      </w:hyperlink>
      <w:r>
        <w:t xml:space="preserve"> - Supports the overall resilience and growth in the InsurTech sector, despite a decrease in the number of deals.</w:t>
      </w:r>
      <w:r/>
    </w:p>
    <w:p>
      <w:pPr>
        <w:pStyle w:val="ListNumber"/>
        <w:spacing w:line="240" w:lineRule="auto"/>
        <w:ind w:left="720"/>
      </w:pPr>
      <w:r/>
      <w:hyperlink r:id="rId11">
        <w:r>
          <w:rPr>
            <w:color w:val="0000EE"/>
            <w:u w:val="single"/>
          </w:rPr>
          <w:t>https://www.reinsurancene.ws/global-insurtech-funding-reaches-3-2bn-in-q3-expected-to-reach-4-2bn-by-the-end-of-2024/</w:t>
        </w:r>
      </w:hyperlink>
      <w:r>
        <w:t xml:space="preserve"> - Explains the focus on B2B SaaS, risk management, climate, and cyber areas within the InsurTech sector.</w:t>
      </w:r>
      <w:r/>
    </w:p>
    <w:p>
      <w:pPr>
        <w:pStyle w:val="ListNumber"/>
        <w:spacing w:line="240" w:lineRule="auto"/>
        <w:ind w:left="720"/>
      </w:pPr>
      <w:r/>
      <w:hyperlink r:id="rId12">
        <w:r>
          <w:rPr>
            <w:color w:val="0000EE"/>
            <w:u w:val="single"/>
          </w:rPr>
          <w:t>https://www.reinsurancene.ws/ai-focused-insurtechs-lead-funding-surge-in-q324-with-897-4m-raised-gallagher-re/</w:t>
        </w:r>
      </w:hyperlink>
      <w:r>
        <w:t xml:space="preserve"> - Details the industry's confidence in long-term prospects and the emphasis on sustainable growth and innovation.</w:t>
      </w:r>
      <w:r/>
    </w:p>
    <w:p>
      <w:pPr>
        <w:pStyle w:val="ListNumber"/>
        <w:spacing w:line="240" w:lineRule="auto"/>
        <w:ind w:left="720"/>
      </w:pPr>
      <w:r/>
      <w:hyperlink r:id="rId13">
        <w:r>
          <w:rPr>
            <w:color w:val="0000EE"/>
            <w:u w:val="single"/>
          </w:rPr>
          <w:t>https://www.insurancejournal.com/news/national/2024/10/31/799261.htm</w:t>
        </w:r>
      </w:hyperlink>
      <w:r>
        <w:t xml:space="preserve"> - Provides an example of an InsurTech company, Root Inc., achieving profitability and expanding its business, reflecting the sector's growth and innovation.</w:t>
      </w:r>
      <w:r/>
    </w:p>
    <w:p>
      <w:pPr>
        <w:pStyle w:val="ListNumber"/>
        <w:spacing w:line="240" w:lineRule="auto"/>
        <w:ind w:left="720"/>
      </w:pPr>
      <w:r/>
      <w:hyperlink r:id="rId14">
        <w:r>
          <w:rPr>
            <w:color w:val="0000EE"/>
            <w:u w:val="single"/>
          </w:rPr>
          <w:t>https://mobilemarketingreads.com/ma-activity-in-ad-tech-martech-and-digital-media-soars-to-pre-3q22-levels-in-q3-2024/?utm_source=rss&amp;utm_medium=rss&amp;utm_campaign=ma-activity-in-ad-tech-martech-and-digital-media-soars-to-pre-3q22-levels-in-q3-2024</w:t>
        </w:r>
      </w:hyperlink>
      <w:r>
        <w:t xml:space="preserve"> - Please view link - unable to able to access data</w:t>
      </w:r>
      <w:r/>
    </w:p>
    <w:p>
      <w:pPr>
        <w:pStyle w:val="ListNumber"/>
        <w:spacing w:line="240" w:lineRule="auto"/>
        <w:ind w:left="720"/>
      </w:pPr>
      <w:r/>
      <w:hyperlink r:id="rId12">
        <w:r>
          <w:rPr>
            <w:color w:val="0000EE"/>
            <w:u w:val="single"/>
          </w:rPr>
          <w:t>https://www.reinsurancene.ws/ai-focused-insurtechs-lead-funding-surge-in-q324-with-897-4m-raised-gallagher-re/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surer.com/news/gallagher-re-insurtech-q3-funding-totals-1-38bn-as-ai-investments-gain-momentum/" TargetMode="External"/><Relationship Id="rId11" Type="http://schemas.openxmlformats.org/officeDocument/2006/relationships/hyperlink" Target="https://www.reinsurancene.ws/global-insurtech-funding-reaches-3-2bn-in-q3-expected-to-reach-4-2bn-by-the-end-of-2024/" TargetMode="External"/><Relationship Id="rId12" Type="http://schemas.openxmlformats.org/officeDocument/2006/relationships/hyperlink" Target="https://www.reinsurancene.ws/ai-focused-insurtechs-lead-funding-surge-in-q324-with-897-4m-raised-gallagher-re/" TargetMode="External"/><Relationship Id="rId13" Type="http://schemas.openxmlformats.org/officeDocument/2006/relationships/hyperlink" Target="https://www.insurancejournal.com/news/national/2024/10/31/799261.htm" TargetMode="External"/><Relationship Id="rId14" Type="http://schemas.openxmlformats.org/officeDocument/2006/relationships/hyperlink" Target="https://mobilemarketingreads.com/ma-activity-in-ad-tech-martech-and-digital-media-soars-to-pre-3q22-levels-in-q3-2024/?utm_source=rss&amp;utm_medium=rss&amp;utm_campaign=ma-activity-in-ad-tech-martech-and-digital-media-soars-to-pre-3q22-levels-in-q3-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