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U.S. regulations on outbound investments target Chinese advanced technology sectors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U.S. Regulations on Outbound Investments Target Chinese Advanced Technology Sectors</w:t>
      </w:r>
      <w:r/>
    </w:p>
    <w:p>
      <w:r/>
      <w:r>
        <w:rPr>
          <w:b/>
        </w:rPr>
        <w:t>Washington D.C., October 28, 2024</w:t>
      </w:r>
      <w:r>
        <w:t xml:space="preserve"> — The United States Department of the Treasury has announced the implementation of final regulations aimed at limiting certain outbound investments in China’s semiconductor, quantum computing, and artificial intelligence (AI) sectors. This move aligns with Executive Order 14105 issued by President Biden on August 9, 2023, and follows extensive rulemaking processes including proposals and public comment periods.</w:t>
      </w:r>
      <w:r/>
    </w:p>
    <w:p>
      <w:r/>
      <w:r>
        <w:rPr>
          <w:b/>
        </w:rPr>
        <w:t>Overview of the Outbound Investment Security Program</w:t>
      </w:r>
      <w:r/>
    </w:p>
    <w:p>
      <w:r/>
      <w:r>
        <w:t>The newly established Outbound Investment Security Program (OISP) applies stringent controls on "covered transactions" involving U.S. persons and investment targets dubbed “covered foreign persons.” The aim of these regulations is to curtail collaborations that could enhance China's advancements in technological spheres—particularly those with implications for military, intelligence, surveillance, and cyber capabilities, which the U.S. views as potential threats to national security.</w:t>
      </w:r>
      <w:r/>
    </w:p>
    <w:p>
      <w:r/>
      <w:r>
        <w:t>In essence, the OISP mandates U.S. persons to either notify authorities within 30 days of closing a covered transaction or, in some cases, entirely prohibit transactions. The program is slated to take effect on January 2, 2025, with provisions also covering transactions not closed by this date.</w:t>
      </w:r>
      <w:r/>
    </w:p>
    <w:p>
      <w:r/>
      <w:r>
        <w:rPr>
          <w:b/>
        </w:rPr>
        <w:t>Affected Parties and Compliance Mechanisms</w:t>
      </w:r>
      <w:r/>
    </w:p>
    <w:p>
      <w:r/>
      <w:r>
        <w:t>The OISP primarily impacts U.S. persons, which include U.S. citizens, residents, and entities organized under U.S. law, as well as foreign entities under U.S. control. Foreign persons could also be affected if they engage in transactions sourced from U.S. capital or have ties to China through investment structures.</w:t>
      </w:r>
      <w:r/>
    </w:p>
    <w:p>
      <w:r/>
      <w:r>
        <w:t>The initiative requires U.S. persons to make informed decisions about their investments, ensuring they conduct thorough due diligence to assess any ties to China of investment targets, regardless of geographical location.</w:t>
      </w:r>
      <w:r/>
    </w:p>
    <w:p>
      <w:r/>
      <w:r>
        <w:rPr>
          <w:b/>
        </w:rPr>
        <w:t>Scope and Specifics of Regulated Technologies</w:t>
      </w:r>
      <w:r/>
    </w:p>
    <w:p>
      <w:r/>
      <w:r>
        <w:t>The regulations focus on three key sectors:</w:t>
      </w:r>
      <w:r/>
    </w:p>
    <w:p>
      <w:r/>
      <w:r>
        <w:t xml:space="preserve">1. </w:t>
      </w:r>
      <w:r>
        <w:rPr>
          <w:b/>
        </w:rPr>
        <w:t>Semiconductors and Microelectronics</w:t>
      </w:r>
      <w:r>
        <w:t>: Transactions related to the design, development, or sale of advanced integrated circuits and manufacturing equipment fall under scrutiny.</w:t>
      </w:r>
      <w:r/>
    </w:p>
    <w:p>
      <w:r/>
      <w:r>
        <w:t xml:space="preserve">2. </w:t>
      </w:r>
      <w:r>
        <w:rPr>
          <w:b/>
        </w:rPr>
        <w:t>Quantum Information Technologies</w:t>
      </w:r>
      <w:r>
        <w:t>: The rules cover most applications within this field, excluding certain commercial uses of quantum sensing technologies.</w:t>
      </w:r>
      <w:r/>
    </w:p>
    <w:p>
      <w:r/>
      <w:r>
        <w:t xml:space="preserve">3. </w:t>
      </w:r>
      <w:r>
        <w:rPr>
          <w:b/>
        </w:rPr>
        <w:t>Artificial Intelligence</w:t>
      </w:r>
      <w:r>
        <w:t>: Specifically targeted are AI systems intended for sensitive uses such as military operations, mass surveillance, or those requiring significant computational power.</w:t>
      </w:r>
      <w:r/>
    </w:p>
    <w:p>
      <w:r/>
      <w:r>
        <w:t>The scope includes both direct investments and indirect investments, such as joint ventures and strategic partnerships that embody these advanced technologies.</w:t>
      </w:r>
      <w:r/>
    </w:p>
    <w:p>
      <w:r/>
      <w:r>
        <w:rPr>
          <w:b/>
        </w:rPr>
        <w:t>Prohibitions and Notifications</w:t>
      </w:r>
      <w:r/>
    </w:p>
    <w:p>
      <w:r/>
      <w:r>
        <w:t>The OISP distinguishes between prohibited and notifiable transactions. Prohibited engagements usually involve direct contributions to potentially militaristic technological advancements, while notifiable transactions are those indirectly contributing to areas identified as threatening U.S. security.</w:t>
      </w:r>
      <w:r/>
    </w:p>
    <w:p>
      <w:r/>
      <w:r>
        <w:rPr>
          <w:b/>
        </w:rPr>
        <w:t>Due Diligence and Compliance Penalties</w:t>
      </w:r>
      <w:r/>
    </w:p>
    <w:p>
      <w:r/>
      <w:r>
        <w:t>Comprehensive due diligence is expected from U.S. entities to identify potential connections with Chinese interests. The OISP’s framework anticipates complete transparency and holds stringent penalties for non-compliance. Civil penalties could reach double the transaction's value or more than $368,000, with criminal penalties including fines up to $1 million or up to 20 years’ imprisonment for intentional violations.</w:t>
      </w:r>
      <w:r/>
    </w:p>
    <w:p>
      <w:r/>
      <w:r>
        <w:rPr>
          <w:b/>
        </w:rPr>
        <w:t>Implications for U.S. and Foreign Invested Entities</w:t>
      </w:r>
      <w:r/>
    </w:p>
    <w:p>
      <w:r/>
      <w:r>
        <w:t>The adoption of these regulations underscores the U.S. government's strategic focus on countering entities in China believed to pose national security concerns. Investors must scrutinise their investment strategies, especially concerning Chinese enterprises and technological developments, to align with the U.S.'s preventive measures.</w:t>
      </w:r>
      <w:r/>
    </w:p>
    <w:p>
      <w:r/>
      <w:r>
        <w:t>As implementation draws near, U.S. entities will need to evaluate existing investment structures and ensure compliance through rigorous contractual commitments and thorough vetting of investment portfolios.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https://www.gibsondunn.com/much-ado-about-outbound-unpacking-the-newest-us-regulatory-regime/</w:t>
        </w:r>
      </w:hyperlink>
      <w:r>
        <w:t xml:space="preserve"> - Corroborates the implementation of final regulations by the U.S. Department of the Treasury, the focus on AI, semiconductors, and quantum computing, and the effective date of January 2, 2025.</w:t>
      </w:r>
      <w:r/>
    </w:p>
    <w:p>
      <w:pPr>
        <w:pStyle w:val="ListNumber"/>
        <w:spacing w:line="240" w:lineRule="auto"/>
        <w:ind w:left="720"/>
      </w:pPr>
      <w:r/>
      <w:hyperlink r:id="rId11">
        <w:r>
          <w:rPr>
            <w:color w:val="0000EE"/>
            <w:u w:val="single"/>
          </w:rPr>
          <w:t>https://www.tradepractitioner.com/2024/11/u-s-outbound-investment-regulations-to-take-effect-on-january-2-2025/</w:t>
        </w:r>
      </w:hyperlink>
      <w:r>
        <w:t xml:space="preserve"> - Supports the details of the Outbound Investment Regulations, including the target sectors and the compliance requirements for U.S. and non-U.S. companies.</w:t>
      </w:r>
      <w:r/>
    </w:p>
    <w:p>
      <w:pPr>
        <w:pStyle w:val="ListNumber"/>
        <w:spacing w:line="240" w:lineRule="auto"/>
        <w:ind w:left="720"/>
      </w:pPr>
      <w:r/>
      <w:hyperlink r:id="rId12">
        <w:r>
          <w:rPr>
            <w:color w:val="0000EE"/>
            <w:u w:val="single"/>
          </w:rPr>
          <w:t>https://www.jdsupra.com/legalnews/twenty-questions-outbound-investment-3103652/</w:t>
        </w:r>
      </w:hyperlink>
      <w:r>
        <w:t xml:space="preserve"> - Provides detailed information on the Outbound Investment Security Program (OISP), including the definition of 'covered transactions' and 'covered foreign persons,' and the notification and prohibition requirements.</w:t>
      </w:r>
      <w:r/>
    </w:p>
    <w:p>
      <w:pPr>
        <w:pStyle w:val="ListNumber"/>
        <w:spacing w:line="240" w:lineRule="auto"/>
        <w:ind w:left="720"/>
      </w:pPr>
      <w:r/>
      <w:hyperlink r:id="rId13">
        <w:r>
          <w:rPr>
            <w:color w:val="0000EE"/>
            <w:u w:val="single"/>
          </w:rPr>
          <w:t>https://www.jdsupra.com/legalnews/biden-administration-finalizes-controls-8939695/</w:t>
        </w:r>
      </w:hyperlink>
      <w:r>
        <w:t xml:space="preserve"> - Corroborates the final rule's focus on semiconductor, quantum computing, and AI sectors, and the mandatory notification requirements within 30 days of closing a transaction.</w:t>
      </w:r>
      <w:r/>
    </w:p>
    <w:p>
      <w:pPr>
        <w:pStyle w:val="ListNumber"/>
        <w:spacing w:line="240" w:lineRule="auto"/>
        <w:ind w:left="720"/>
      </w:pPr>
      <w:r/>
      <w:hyperlink r:id="rId14">
        <w:r>
          <w:rPr>
            <w:color w:val="0000EE"/>
            <w:u w:val="single"/>
          </w:rPr>
          <w:t>https://www.davispolk.com/insights/client-update/final-outbound-investment-rule-released</w:t>
        </w:r>
      </w:hyperlink>
      <w:r>
        <w:t xml:space="preserve"> - Details the extensive diligence requirements and prohibitions on U.S. investment in China-linked companies, aligning with Executive Order 14105.</w:t>
      </w:r>
      <w:r/>
    </w:p>
    <w:p>
      <w:pPr>
        <w:pStyle w:val="ListNumber"/>
        <w:spacing w:line="240" w:lineRule="auto"/>
        <w:ind w:left="720"/>
      </w:pPr>
      <w:r/>
      <w:hyperlink r:id="rId10">
        <w:r>
          <w:rPr>
            <w:color w:val="0000EE"/>
            <w:u w:val="single"/>
          </w:rPr>
          <w:t>https://www.gibsondunn.com/much-ado-about-outbound-unpacking-the-newest-us-regulatory-regime/</w:t>
        </w:r>
      </w:hyperlink>
      <w:r>
        <w:t xml:space="preserve"> - Explains the distinction between prohibited and notifiable transactions and the penalties for non-compliance, including civil and criminal penalties.</w:t>
      </w:r>
      <w:r/>
    </w:p>
    <w:p>
      <w:pPr>
        <w:pStyle w:val="ListNumber"/>
        <w:spacing w:line="240" w:lineRule="auto"/>
        <w:ind w:left="720"/>
      </w:pPr>
      <w:r/>
      <w:hyperlink r:id="rId11">
        <w:r>
          <w:rPr>
            <w:color w:val="0000EE"/>
            <w:u w:val="single"/>
          </w:rPr>
          <w:t>https://www.tradepractitioner.com/2024/11/u-s-outbound-investment-regulations-to-take-effect-on-january-2-2025/</w:t>
        </w:r>
      </w:hyperlink>
      <w:r>
        <w:t xml:space="preserve"> - Highlights the impact on U.S. and non-U.S. companies, including the need for thorough due diligence and the potential for future expansions of the regulatory regime.</w:t>
      </w:r>
      <w:r/>
    </w:p>
    <w:p>
      <w:pPr>
        <w:pStyle w:val="ListNumber"/>
        <w:spacing w:line="240" w:lineRule="auto"/>
        <w:ind w:left="720"/>
      </w:pPr>
      <w:r/>
      <w:hyperlink r:id="rId12">
        <w:r>
          <w:rPr>
            <w:color w:val="0000EE"/>
            <w:u w:val="single"/>
          </w:rPr>
          <w:t>https://www.jdsupra.com/legalnews/twenty-questions-outbound-investment-3103652/</w:t>
        </w:r>
      </w:hyperlink>
      <w:r>
        <w:t xml:space="preserve"> - Clarifies the scope of the regulations, including the coverage of pending transactions and the exceptions for certain types of investments.</w:t>
      </w:r>
      <w:r/>
    </w:p>
    <w:p>
      <w:pPr>
        <w:pStyle w:val="ListNumber"/>
        <w:spacing w:line="240" w:lineRule="auto"/>
        <w:ind w:left="720"/>
      </w:pPr>
      <w:r/>
      <w:hyperlink r:id="rId13">
        <w:r>
          <w:rPr>
            <w:color w:val="0000EE"/>
            <w:u w:val="single"/>
          </w:rPr>
          <w:t>https://www.jdsupra.com/legalnews/biden-administration-finalizes-controls-8939695/</w:t>
        </w:r>
      </w:hyperlink>
      <w:r>
        <w:t xml:space="preserve"> - Discusses the policy implications and the potential for future legislative actions or executive orders to expand the outbound investment controls.</w:t>
      </w:r>
      <w:r/>
    </w:p>
    <w:p>
      <w:pPr>
        <w:pStyle w:val="ListNumber"/>
        <w:spacing w:line="240" w:lineRule="auto"/>
        <w:ind w:left="720"/>
      </w:pPr>
      <w:r/>
      <w:hyperlink r:id="rId14">
        <w:r>
          <w:rPr>
            <w:color w:val="0000EE"/>
            <w:u w:val="single"/>
          </w:rPr>
          <w:t>https://www.davispolk.com/insights/client-update/final-outbound-investment-rule-released</w:t>
        </w:r>
      </w:hyperlink>
      <w:r>
        <w:t xml:space="preserve"> - Details the compliance mechanisms, including the requirement for U.S. persons to conduct thorough due diligence to assess ties to China, regardless of the geographical location of the investment target.</w:t>
      </w:r>
      <w:r/>
    </w:p>
    <w:p>
      <w:pPr>
        <w:pStyle w:val="ListNumber"/>
        <w:spacing w:line="240" w:lineRule="auto"/>
        <w:ind w:left="720"/>
      </w:pPr>
      <w:r/>
      <w:hyperlink r:id="rId10">
        <w:r>
          <w:rPr>
            <w:color w:val="0000EE"/>
            <w:u w:val="single"/>
          </w:rPr>
          <w:t>https://www.gibsondunn.com/much-ado-about-outbound-unpacking-the-newest-us-regulatory-regime/</w:t>
        </w:r>
      </w:hyperlink>
      <w:r>
        <w:t xml:space="preserve"> - Explains the role of the Office of Global Transactions within the U.S. Department of the Treasury in implementing and overseeing the outbound investment regime.</w:t>
      </w:r>
      <w:r/>
    </w:p>
    <w:p>
      <w:pPr>
        <w:pStyle w:val="ListNumber"/>
        <w:spacing w:line="240" w:lineRule="auto"/>
        <w:ind w:left="720"/>
      </w:pPr>
      <w:r/>
      <w:hyperlink r:id="rId12">
        <w:r>
          <w:rPr>
            <w:color w:val="0000EE"/>
            <w:u w:val="single"/>
          </w:rPr>
          <w:t>https://www.jdsupra.com/legalnews/twenty-questions-outbound-investment-3103652/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ibsondunn.com/much-ado-about-outbound-unpacking-the-newest-us-regulatory-regime/" TargetMode="External"/><Relationship Id="rId11" Type="http://schemas.openxmlformats.org/officeDocument/2006/relationships/hyperlink" Target="https://www.tradepractitioner.com/2024/11/u-s-outbound-investment-regulations-to-take-effect-on-january-2-2025/" TargetMode="External"/><Relationship Id="rId12" Type="http://schemas.openxmlformats.org/officeDocument/2006/relationships/hyperlink" Target="https://www.jdsupra.com/legalnews/twenty-questions-outbound-investment-3103652/" TargetMode="External"/><Relationship Id="rId13" Type="http://schemas.openxmlformats.org/officeDocument/2006/relationships/hyperlink" Target="https://www.jdsupra.com/legalnews/biden-administration-finalizes-controls-8939695/" TargetMode="External"/><Relationship Id="rId14" Type="http://schemas.openxmlformats.org/officeDocument/2006/relationships/hyperlink" Target="https://www.davispolk.com/insights/client-update/final-outbound-investment-rule-releas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