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Copyright Clearance Center leads the way in AI-related licensing solutions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rapidly evolving realm of publishing, the role of copyrighted material in artificial intelligence systems is becoming an increasingly pressing concern. One organisation, the Copyright Clearance Center (CCC), is at the forefront of addressing these challenges. Under the leadership of Michael Healy, the Executive Director for rightsholder and international relations at CCC, the organisation aims to balance the needs of copyright protection with the wave of innovation brought by AI technologies.</w:t>
      </w:r>
      <w:r/>
    </w:p>
    <w:p>
      <w:r/>
      <w:r>
        <w:t>A key component of CCC's strategy is the development of what is described as “the world’s first collective licensing solution” specifically tailored for the use of AI-related content. This ground-breaking initiative was the culmination of an extensive 18-month consultation period involving both licensees and publishers. Healy explained the dual nature of these consultations, focusing on gauging how business licensees—those that acquire annual blanket copyright licenses from CCC—utilise copyrighted materials within generative AI systems.</w:t>
      </w:r>
      <w:r/>
    </w:p>
    <w:p>
      <w:r/>
      <w:r>
        <w:t>The outcome of these discussions is a modified version of CCC’s existing annual blanket license, which now includes rights for AI-related reuse. Healy elaborated that this license integrates AI internal use rights into the existing licensing framework. Officially launched in mid-July, this new license represents a significant shift in how the publishing industry manages the interplay between AI and copyright.</w:t>
      </w:r>
      <w:r/>
    </w:p>
    <w:p>
      <w:r/>
      <w:r>
        <w:t>Healy highlighted CCC’s philosophy in navigating this complex intersection: “We believe it’s possible to be pro AI and pro copyright. We think the way you achieve that is with this notion of responsible AI.” The approach is designed to ensure fair compensation for publishers and creators while fostering technological advancement.</w:t>
      </w:r>
      <w:r/>
    </w:p>
    <w:p>
      <w:r/>
      <w:r>
        <w:t>The response from the publishing industry has been largely enthusiastic, with hundreds of publishers reportedly engaging with the new licensing solution. One of the significant advantages of CCC's approach is its international applicability. Many of CCC’s customers, including global pharmaceutical companies, prefer a worldwide license to support their expansive operations.</w:t>
      </w:r>
      <w:r/>
    </w:p>
    <w:p>
      <w:r/>
      <w:r>
        <w:t>In addition to these developments, Healy has been engaging with the industry through various platforms. He has conducted a series of roundtable discussions on AI, including at notable events like the Sharjah International Book Fair. These sessions attract a wide range of inquiries from publishing professionals, with questions varying based on the size and nature of the enterprise. Topics range from specifics like the definition of 'internal use' and potential royalty adjustments to broader themes such as the principles of responsible AI and distinctions between direct and collective licensing.</w:t>
      </w:r>
      <w:r/>
    </w:p>
    <w:p>
      <w:r/>
      <w:r>
        <w:t>The approach of AI companies towards licensing and copyright remains varied. While some AI firms immediately recognise their responsibilities to creators and publishers, others are less forthcoming, adding layers of complexity to the landscape that publishers must navigate. CCC's efforts reflect a proactive step towards a harmonious integration of AI within the realm of intellectual property, setting a precedent for how these interactions may unfold globally in the years to come.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https://www.copyright.com/blog/navigating-copyright-generative-ai-responsible-ai-starts-with-licensing/</w:t>
        </w:r>
      </w:hyperlink>
      <w:r>
        <w:t xml:space="preserve"> - This article explains the importance of licensing in the context of AI, including the integration of AI rights into CCC’s Annual Copyright Licenses (ACL) and the need for responsible AI practices.</w:t>
      </w:r>
      <w:r/>
    </w:p>
    <w:p>
      <w:pPr>
        <w:pStyle w:val="ListNumber"/>
        <w:spacing w:line="240" w:lineRule="auto"/>
        <w:ind w:left="720"/>
      </w:pPr>
      <w:r/>
      <w:hyperlink r:id="rId11">
        <w:r>
          <w:rPr>
            <w:color w:val="0000EE"/>
            <w:u w:val="single"/>
          </w:rPr>
          <w:t>https://www.copyright.com/blog/ccc-announces-collective-solution-for-internal-ai-licenses/</w:t>
        </w:r>
      </w:hyperlink>
      <w:r>
        <w:t xml:space="preserve"> - This post details CCC’s announcement of a collective licensing program for AI re-use rights, highlighting the development process and the benefits for both content owners and users.</w:t>
      </w:r>
      <w:r/>
    </w:p>
    <w:p>
      <w:pPr>
        <w:pStyle w:val="ListNumber"/>
        <w:spacing w:line="240" w:lineRule="auto"/>
        <w:ind w:left="720"/>
      </w:pPr>
      <w:r/>
      <w:hyperlink r:id="rId12">
        <w:r>
          <w:rPr>
            <w:color w:val="0000EE"/>
            <w:u w:val="single"/>
          </w:rPr>
          <w:t>https://www.copyright.com/blog/ccc-launches-collective-ai-license/</w:t>
        </w:r>
      </w:hyperlink>
      <w:r>
        <w:t xml:space="preserve"> - This article discusses the launch of CCC’s collective licensing solution for the internal use of copyrighted materials in AI systems, including its integration into the Annual Copyright Licenses (ACL).</w:t>
      </w:r>
      <w:r/>
    </w:p>
    <w:p>
      <w:pPr>
        <w:pStyle w:val="ListNumber"/>
        <w:spacing w:line="240" w:lineRule="auto"/>
        <w:ind w:left="720"/>
      </w:pPr>
      <w:r/>
      <w:hyperlink r:id="rId13">
        <w:r>
          <w:rPr>
            <w:color w:val="0000EE"/>
            <w:u w:val="single"/>
          </w:rPr>
          <w:t>https://www.copyright.com/blog/the-intersection-of-artificial-intelligence-and-copyright/</w:t>
        </w:r>
      </w:hyperlink>
      <w:r>
        <w:t xml:space="preserve"> - This blog post explores the intersection of AI and copyright, emphasizing the role of voluntary collective licensing in enabling the use of copyrighted material in AI systems.</w:t>
      </w:r>
      <w:r/>
    </w:p>
    <w:p>
      <w:pPr>
        <w:pStyle w:val="ListNumber"/>
        <w:spacing w:line="240" w:lineRule="auto"/>
        <w:ind w:left="720"/>
      </w:pPr>
      <w:r/>
      <w:hyperlink r:id="rId14">
        <w:r>
          <w:rPr>
            <w:color w:val="0000EE"/>
            <w:u w:val="single"/>
          </w:rPr>
          <w:t>https://www.copyright.com/blog/heart-of-the-matter-copyright-ai-training-llms-executive-summary/</w:t>
        </w:r>
      </w:hyperlink>
      <w:r>
        <w:t xml:space="preserve"> - This executive summary discusses how AI technologies and copyright intersect, highlighting the importance of licensing in addressing copyright liability issues related to AI training and use.</w:t>
      </w:r>
      <w:r/>
    </w:p>
    <w:p>
      <w:pPr>
        <w:pStyle w:val="ListNumber"/>
        <w:spacing w:line="240" w:lineRule="auto"/>
        <w:ind w:left="720"/>
      </w:pPr>
      <w:r/>
      <w:hyperlink r:id="rId10">
        <w:r>
          <w:rPr>
            <w:color w:val="0000EE"/>
            <w:u w:val="single"/>
          </w:rPr>
          <w:t>https://www.copyright.com/blog/navigating-copyright-generative-ai-responsible-ai-starts-with-licensing/</w:t>
        </w:r>
      </w:hyperlink>
      <w:r>
        <w:t xml:space="preserve"> - This article outlines the steps for responsible IP compliance in AI use, including auditing AI copyright practices and developing an AI copyright governance framework.</w:t>
      </w:r>
      <w:r/>
    </w:p>
    <w:p>
      <w:pPr>
        <w:pStyle w:val="ListNumber"/>
        <w:spacing w:line="240" w:lineRule="auto"/>
        <w:ind w:left="720"/>
      </w:pPr>
      <w:r/>
      <w:hyperlink r:id="rId11">
        <w:r>
          <w:rPr>
            <w:color w:val="0000EE"/>
            <w:u w:val="single"/>
          </w:rPr>
          <w:t>https://www.copyright.com/blog/ccc-announces-collective-solution-for-internal-ai-licenses/</w:t>
        </w:r>
      </w:hyperlink>
      <w:r>
        <w:t xml:space="preserve"> - This post mentions the extensive consultation period and the involvement of third-party experts in developing the AI licensing solution, aligning with CCC’s philosophy of responsible AI.</w:t>
      </w:r>
      <w:r/>
    </w:p>
    <w:p>
      <w:pPr>
        <w:pStyle w:val="ListNumber"/>
        <w:spacing w:line="240" w:lineRule="auto"/>
        <w:ind w:left="720"/>
      </w:pPr>
      <w:r/>
      <w:hyperlink r:id="rId12">
        <w:r>
          <w:rPr>
            <w:color w:val="0000EE"/>
            <w:u w:val="single"/>
          </w:rPr>
          <w:t>https://www.copyright.com/blog/ccc-launches-collective-ai-license/</w:t>
        </w:r>
      </w:hyperlink>
      <w:r>
        <w:t xml:space="preserve"> - This article highlights the international applicability of CCC’s new licensing solution and its benefits for global operations, such as those of pharmaceutical companies.</w:t>
      </w:r>
      <w:r/>
    </w:p>
    <w:p>
      <w:pPr>
        <w:pStyle w:val="ListNumber"/>
        <w:spacing w:line="240" w:lineRule="auto"/>
        <w:ind w:left="720"/>
      </w:pPr>
      <w:r/>
      <w:hyperlink r:id="rId10">
        <w:r>
          <w:rPr>
            <w:color w:val="0000EE"/>
            <w:u w:val="single"/>
          </w:rPr>
          <w:t>https://www.copyright.com/blog/navigating-copyright-generative-ai-responsible-ai-starts-with-licensing/</w:t>
        </w:r>
      </w:hyperlink>
      <w:r>
        <w:t xml:space="preserve"> - This article discusses the varied approaches of AI companies towards licensing and copyright, reflecting the complexity of the landscape that publishers must navigate.</w:t>
      </w:r>
      <w:r/>
    </w:p>
    <w:p>
      <w:pPr>
        <w:pStyle w:val="ListNumber"/>
        <w:spacing w:line="240" w:lineRule="auto"/>
        <w:ind w:left="720"/>
      </w:pPr>
      <w:r/>
      <w:hyperlink r:id="rId14">
        <w:r>
          <w:rPr>
            <w:color w:val="0000EE"/>
            <w:u w:val="single"/>
          </w:rPr>
          <w:t>https://www.copyright.com/blog/heart-of-the-matter-copyright-ai-training-llms-executive-summary/</w:t>
        </w:r>
      </w:hyperlink>
      <w:r>
        <w:t xml:space="preserve"> - This summary emphasizes the role of licensing in harmonizing the use of copyrighted works globally, despite the inconsistent international legal landscape.</w:t>
      </w:r>
      <w:r/>
    </w:p>
    <w:p>
      <w:pPr>
        <w:pStyle w:val="ListNumber"/>
        <w:spacing w:line="240" w:lineRule="auto"/>
        <w:ind w:left="720"/>
      </w:pPr>
      <w:r/>
      <w:hyperlink r:id="rId12">
        <w:r>
          <w:rPr>
            <w:color w:val="0000EE"/>
            <w:u w:val="single"/>
          </w:rPr>
          <w:t>https://www.copyright.com/blog/ccc-launches-collective-ai-license/</w:t>
        </w:r>
      </w:hyperlink>
      <w:r>
        <w:t xml:space="preserve"> - This article notes the enthusiastic response from the publishing industry and the potential for new revenue streams for content owners through CCC’s licensing solution.</w:t>
      </w:r>
      <w:r/>
    </w:p>
    <w:p>
      <w:pPr>
        <w:pStyle w:val="ListNumber"/>
        <w:spacing w:line="240" w:lineRule="auto"/>
        <w:ind w:left="720"/>
      </w:pPr>
      <w:r/>
      <w:hyperlink r:id="rId15">
        <w:r>
          <w:rPr>
            <w:color w:val="0000EE"/>
            <w:u w:val="single"/>
          </w:rPr>
          <w:t>https://www.publishersweekly.com:443/pw/by-topic/international/sharjah-book-fair/article/96168-how-copyright-clearance-center-s-michael-healy-advocates-for-responsible-ai.html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opyright.com/blog/navigating-copyright-generative-ai-responsible-ai-starts-with-licensing/" TargetMode="External"/><Relationship Id="rId11" Type="http://schemas.openxmlformats.org/officeDocument/2006/relationships/hyperlink" Target="https://www.copyright.com/blog/ccc-announces-collective-solution-for-internal-ai-licenses/" TargetMode="External"/><Relationship Id="rId12" Type="http://schemas.openxmlformats.org/officeDocument/2006/relationships/hyperlink" Target="https://www.copyright.com/blog/ccc-launches-collective-ai-license/" TargetMode="External"/><Relationship Id="rId13" Type="http://schemas.openxmlformats.org/officeDocument/2006/relationships/hyperlink" Target="https://www.copyright.com/blog/the-intersection-of-artificial-intelligence-and-copyright/" TargetMode="External"/><Relationship Id="rId14" Type="http://schemas.openxmlformats.org/officeDocument/2006/relationships/hyperlink" Target="https://www.copyright.com/blog/heart-of-the-matter-copyright-ai-training-llms-executive-summary/" TargetMode="External"/><Relationship Id="rId15" Type="http://schemas.openxmlformats.org/officeDocument/2006/relationships/hyperlink" Target="https://www.publishersweekly.com:443/pw/by-topic/international/sharjah-book-fair/article/96168-how-copyright-clearance-center-s-michael-healy-advocates-for-responsible-ai.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